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D1C02" w14:textId="77777777" w:rsidR="00D26739" w:rsidRDefault="00D26739" w:rsidP="0004493C">
      <w:pPr>
        <w:jc w:val="center"/>
        <w:rPr>
          <w:rFonts w:eastAsiaTheme="majorEastAsia" w:cstheme="minorHAnsi"/>
          <w:b/>
          <w:noProof w:val="0"/>
          <w:color w:val="2F5496" w:themeColor="accent1" w:themeShade="BF"/>
          <w:sz w:val="32"/>
          <w:szCs w:val="32"/>
        </w:rPr>
      </w:pPr>
    </w:p>
    <w:p w14:paraId="632BEC8D" w14:textId="04D26443" w:rsidR="007E6F46" w:rsidRPr="005C44BE" w:rsidRDefault="00207B34" w:rsidP="0004493C">
      <w:pPr>
        <w:jc w:val="center"/>
        <w:rPr>
          <w:rFonts w:eastAsiaTheme="majorEastAsia" w:cstheme="minorHAnsi"/>
          <w:b/>
          <w:noProof w:val="0"/>
          <w:color w:val="2F5496" w:themeColor="accent1" w:themeShade="BF"/>
          <w:sz w:val="32"/>
          <w:szCs w:val="32"/>
        </w:rPr>
      </w:pPr>
      <w:r>
        <w:rPr>
          <w:rFonts w:eastAsiaTheme="majorEastAsia" w:cstheme="minorHAnsi"/>
          <w:b/>
          <w:noProof w:val="0"/>
          <w:color w:val="2F5496" w:themeColor="accent1" w:themeShade="BF"/>
          <w:sz w:val="32"/>
          <w:szCs w:val="32"/>
        </w:rPr>
        <w:t xml:space="preserve">Das </w:t>
      </w:r>
      <w:r w:rsidR="00494806">
        <w:rPr>
          <w:rFonts w:eastAsiaTheme="majorEastAsia" w:cstheme="minorHAnsi"/>
          <w:b/>
          <w:noProof w:val="0"/>
          <w:color w:val="2F5496" w:themeColor="accent1" w:themeShade="BF"/>
          <w:sz w:val="32"/>
          <w:szCs w:val="32"/>
        </w:rPr>
        <w:t>LNS analysiert</w:t>
      </w:r>
      <w:r w:rsidR="00E85519">
        <w:rPr>
          <w:rFonts w:eastAsiaTheme="majorEastAsia" w:cstheme="minorHAnsi"/>
          <w:b/>
          <w:noProof w:val="0"/>
          <w:color w:val="2F5496" w:themeColor="accent1" w:themeShade="BF"/>
          <w:sz w:val="32"/>
          <w:szCs w:val="32"/>
        </w:rPr>
        <w:t xml:space="preserve"> </w:t>
      </w:r>
      <w:r w:rsidR="003A447A">
        <w:rPr>
          <w:rFonts w:eastAsiaTheme="majorEastAsia" w:cstheme="minorHAnsi"/>
          <w:b/>
          <w:noProof w:val="0"/>
          <w:color w:val="2F5496" w:themeColor="accent1" w:themeShade="BF"/>
          <w:sz w:val="32"/>
          <w:szCs w:val="32"/>
        </w:rPr>
        <w:t>durch</w:t>
      </w:r>
      <w:r w:rsidR="005C44BE" w:rsidRPr="005C44BE">
        <w:rPr>
          <w:rFonts w:eastAsiaTheme="majorEastAsia" w:cstheme="minorHAnsi"/>
          <w:b/>
          <w:noProof w:val="0"/>
          <w:color w:val="2F5496" w:themeColor="accent1" w:themeShade="BF"/>
          <w:sz w:val="32"/>
          <w:szCs w:val="32"/>
        </w:rPr>
        <w:t xml:space="preserve"> den Zoll beschlagnahmte Medikamente</w:t>
      </w:r>
    </w:p>
    <w:p w14:paraId="205C48B9" w14:textId="77777777" w:rsidR="00D26739" w:rsidRDefault="00D26739" w:rsidP="0004493C">
      <w:pPr>
        <w:jc w:val="both"/>
        <w:rPr>
          <w:bCs/>
          <w:i/>
          <w:noProof w:val="0"/>
        </w:rPr>
      </w:pPr>
    </w:p>
    <w:p w14:paraId="2138FB87" w14:textId="77777777" w:rsidR="00D26739" w:rsidRDefault="00D26739" w:rsidP="0004493C">
      <w:pPr>
        <w:jc w:val="both"/>
        <w:rPr>
          <w:bCs/>
          <w:i/>
          <w:noProof w:val="0"/>
        </w:rPr>
      </w:pPr>
    </w:p>
    <w:p w14:paraId="6A1C5350" w14:textId="2D25C083" w:rsidR="00BD2C66" w:rsidRDefault="005C44BE" w:rsidP="0004493C">
      <w:pPr>
        <w:jc w:val="both"/>
        <w:rPr>
          <w:bCs/>
          <w:i/>
          <w:noProof w:val="0"/>
        </w:rPr>
      </w:pPr>
      <w:r w:rsidRPr="005C44BE">
        <w:rPr>
          <w:bCs/>
          <w:i/>
          <w:noProof w:val="0"/>
        </w:rPr>
        <w:t xml:space="preserve">Seit 2016 unterzieht das </w:t>
      </w:r>
      <w:proofErr w:type="spellStart"/>
      <w:r w:rsidRPr="005C44BE">
        <w:rPr>
          <w:bCs/>
          <w:i/>
          <w:noProof w:val="0"/>
        </w:rPr>
        <w:t>Laboratoire</w:t>
      </w:r>
      <w:proofErr w:type="spellEnd"/>
      <w:r w:rsidRPr="005C44BE">
        <w:rPr>
          <w:bCs/>
          <w:i/>
          <w:noProof w:val="0"/>
        </w:rPr>
        <w:t xml:space="preserve"> national de </w:t>
      </w:r>
      <w:proofErr w:type="spellStart"/>
      <w:r w:rsidRPr="005C44BE">
        <w:rPr>
          <w:bCs/>
          <w:i/>
          <w:noProof w:val="0"/>
        </w:rPr>
        <w:t>santé</w:t>
      </w:r>
      <w:proofErr w:type="spellEnd"/>
      <w:r w:rsidRPr="005C44BE">
        <w:rPr>
          <w:bCs/>
          <w:i/>
          <w:noProof w:val="0"/>
        </w:rPr>
        <w:t xml:space="preserve"> (LNS) die vom Zoll beschlagnahmten Medikamente vom Typ ''Viagra'' einer systematischen Qualitätskontrolle. In den letzten Jahren ist die pharmazeutische Produktqualität gestiegen</w:t>
      </w:r>
      <w:r w:rsidR="005667BD">
        <w:rPr>
          <w:bCs/>
          <w:i/>
          <w:noProof w:val="0"/>
        </w:rPr>
        <w:t xml:space="preserve">, wobei </w:t>
      </w:r>
      <w:r w:rsidRPr="005C44BE">
        <w:rPr>
          <w:bCs/>
          <w:i/>
          <w:noProof w:val="0"/>
        </w:rPr>
        <w:t>auch 2021 noch etwa ein Drittel der beschlagnahmten Arzneimittel nicht den EU-Rechtsvorschriften</w:t>
      </w:r>
      <w:r w:rsidR="005667BD">
        <w:rPr>
          <w:bCs/>
          <w:i/>
          <w:noProof w:val="0"/>
        </w:rPr>
        <w:t xml:space="preserve"> entsprach</w:t>
      </w:r>
      <w:r w:rsidRPr="005C44BE">
        <w:rPr>
          <w:bCs/>
          <w:i/>
          <w:noProof w:val="0"/>
        </w:rPr>
        <w:t>. Trotz der Verbesserung stellt die Verwendung von Produkten, die ohne ärztliche Verschreibung im Internet bei nicht zertifizierten Anbietern gekauft werden, weiterhin ein ernstzunehmendes Gesundheitsrisiko für die Verbraucher dar.</w:t>
      </w:r>
    </w:p>
    <w:p w14:paraId="1C572195" w14:textId="77777777" w:rsidR="00D26739" w:rsidRPr="005C44BE" w:rsidRDefault="00D26739" w:rsidP="0004493C">
      <w:pPr>
        <w:jc w:val="both"/>
        <w:rPr>
          <w:bCs/>
          <w:i/>
          <w:noProof w:val="0"/>
        </w:rPr>
      </w:pPr>
    </w:p>
    <w:p w14:paraId="27EEC28B" w14:textId="20AE348A" w:rsidR="00381F6B" w:rsidRPr="00D84D02" w:rsidRDefault="00D84D02" w:rsidP="0004493C">
      <w:pPr>
        <w:jc w:val="both"/>
        <w:rPr>
          <w:noProof w:val="0"/>
        </w:rPr>
      </w:pPr>
      <w:r w:rsidRPr="00D84D02">
        <w:rPr>
          <w:noProof w:val="0"/>
        </w:rPr>
        <w:t xml:space="preserve">Die Abteilung </w:t>
      </w:r>
      <w:r>
        <w:rPr>
          <w:noProof w:val="0"/>
        </w:rPr>
        <w:t>„</w:t>
      </w:r>
      <w:proofErr w:type="spellStart"/>
      <w:r w:rsidRPr="00D84D02">
        <w:rPr>
          <w:noProof w:val="0"/>
        </w:rPr>
        <w:t>toxicologie</w:t>
      </w:r>
      <w:proofErr w:type="spellEnd"/>
      <w:r w:rsidRPr="00D84D02">
        <w:rPr>
          <w:noProof w:val="0"/>
        </w:rPr>
        <w:t xml:space="preserve"> </w:t>
      </w:r>
      <w:proofErr w:type="spellStart"/>
      <w:r w:rsidRPr="00D84D02">
        <w:rPr>
          <w:noProof w:val="0"/>
        </w:rPr>
        <w:t>analytique</w:t>
      </w:r>
      <w:proofErr w:type="spellEnd"/>
      <w:r w:rsidRPr="00D84D02">
        <w:rPr>
          <w:noProof w:val="0"/>
        </w:rPr>
        <w:t xml:space="preserve"> - </w:t>
      </w:r>
      <w:proofErr w:type="spellStart"/>
      <w:r w:rsidRPr="00D84D02">
        <w:rPr>
          <w:noProof w:val="0"/>
        </w:rPr>
        <w:t>chimie</w:t>
      </w:r>
      <w:proofErr w:type="spellEnd"/>
      <w:r w:rsidRPr="00D84D02">
        <w:rPr>
          <w:noProof w:val="0"/>
        </w:rPr>
        <w:t xml:space="preserve"> </w:t>
      </w:r>
      <w:proofErr w:type="spellStart"/>
      <w:r w:rsidRPr="00D84D02">
        <w:rPr>
          <w:noProof w:val="0"/>
        </w:rPr>
        <w:t>pharmaceutique</w:t>
      </w:r>
      <w:proofErr w:type="spellEnd"/>
      <w:r>
        <w:rPr>
          <w:noProof w:val="0"/>
        </w:rPr>
        <w:t>“</w:t>
      </w:r>
      <w:r w:rsidRPr="00D84D02">
        <w:rPr>
          <w:noProof w:val="0"/>
        </w:rPr>
        <w:t xml:space="preserve"> des LNS hat in Zusammenarbeit mit dem Zoll und de</w:t>
      </w:r>
      <w:r w:rsidR="006105A3">
        <w:rPr>
          <w:noProof w:val="0"/>
        </w:rPr>
        <w:t>r</w:t>
      </w:r>
      <w:r w:rsidRPr="00D84D02">
        <w:rPr>
          <w:noProof w:val="0"/>
        </w:rPr>
        <w:t xml:space="preserve"> Gesundheits</w:t>
      </w:r>
      <w:r w:rsidR="006105A3">
        <w:rPr>
          <w:noProof w:val="0"/>
        </w:rPr>
        <w:t xml:space="preserve">direktion </w:t>
      </w:r>
      <w:r w:rsidRPr="00D84D02">
        <w:rPr>
          <w:noProof w:val="0"/>
        </w:rPr>
        <w:t>zwischen 2016 und 2021 eine Studie über die Qualität von Medikamenten durchgeführt, die vom luxemburgischen Zoll beschlagnahmt wurden.</w:t>
      </w:r>
    </w:p>
    <w:p w14:paraId="2DFE2F3A" w14:textId="2F74741A" w:rsidR="00713E89" w:rsidRPr="00541C65" w:rsidRDefault="00C45D99" w:rsidP="0004493C">
      <w:pPr>
        <w:jc w:val="both"/>
        <w:rPr>
          <w:noProof w:val="0"/>
        </w:rPr>
      </w:pPr>
      <w:r>
        <w:rPr>
          <w:noProof w:val="0"/>
        </w:rPr>
        <w:t>J</w:t>
      </w:r>
      <w:r w:rsidR="00D84D02" w:rsidRPr="00541C65">
        <w:rPr>
          <w:noProof w:val="0"/>
        </w:rPr>
        <w:t xml:space="preserve">edes Jahr </w:t>
      </w:r>
      <w:r>
        <w:rPr>
          <w:noProof w:val="0"/>
        </w:rPr>
        <w:t xml:space="preserve">werden </w:t>
      </w:r>
      <w:r w:rsidR="001475BB">
        <w:rPr>
          <w:noProof w:val="0"/>
        </w:rPr>
        <w:t>als Folge von</w:t>
      </w:r>
      <w:r w:rsidR="00D84D02" w:rsidRPr="00541C65">
        <w:rPr>
          <w:noProof w:val="0"/>
        </w:rPr>
        <w:t xml:space="preserve"> Käufen durch Privatpersonen </w:t>
      </w:r>
      <w:r w:rsidR="001475BB">
        <w:rPr>
          <w:noProof w:val="0"/>
        </w:rPr>
        <w:t>über</w:t>
      </w:r>
      <w:r w:rsidR="00D84D02" w:rsidRPr="00541C65">
        <w:rPr>
          <w:noProof w:val="0"/>
        </w:rPr>
        <w:t xml:space="preserve"> Internetseiten mehrere </w:t>
      </w:r>
      <w:r w:rsidR="00207B34">
        <w:rPr>
          <w:noProof w:val="0"/>
        </w:rPr>
        <w:t>t</w:t>
      </w:r>
      <w:r w:rsidR="00D84D02" w:rsidRPr="00541C65">
        <w:rPr>
          <w:noProof w:val="0"/>
        </w:rPr>
        <w:t>ausend Arzneimittel illegal in das Großherzogtum Luxemburg eingeführt. D</w:t>
      </w:r>
      <w:r w:rsidR="00DB734B">
        <w:rPr>
          <w:noProof w:val="0"/>
        </w:rPr>
        <w:t>ie</w:t>
      </w:r>
      <w:r w:rsidR="00D84D02" w:rsidRPr="00541C65">
        <w:rPr>
          <w:noProof w:val="0"/>
        </w:rPr>
        <w:t xml:space="preserve"> </w:t>
      </w:r>
      <w:r w:rsidR="00146BDF">
        <w:rPr>
          <w:noProof w:val="0"/>
        </w:rPr>
        <w:t>Gesundheitsdirektion</w:t>
      </w:r>
      <w:r w:rsidR="00D84D02" w:rsidRPr="00541C65">
        <w:rPr>
          <w:noProof w:val="0"/>
        </w:rPr>
        <w:t xml:space="preserve"> hat dem LNS </w:t>
      </w:r>
      <w:r w:rsidR="00F11566" w:rsidRPr="00541C65">
        <w:rPr>
          <w:noProof w:val="0"/>
        </w:rPr>
        <w:t xml:space="preserve">diese Medikamente </w:t>
      </w:r>
      <w:r w:rsidR="00D84D02" w:rsidRPr="00541C65">
        <w:rPr>
          <w:noProof w:val="0"/>
        </w:rPr>
        <w:t xml:space="preserve">zur Verfügung gestellt, um ihre chemische Qualität zu überprüfen, da diese Produkte oft keine Marktzulassung in Europa haben oder es sich um gefälschte Produkte handelt, deren Qualität nie kontrolliert wurde. </w:t>
      </w:r>
      <w:r w:rsidR="00C15F4F" w:rsidRPr="00541C65">
        <w:rPr>
          <w:noProof w:val="0"/>
        </w:rPr>
        <w:t xml:space="preserve"> </w:t>
      </w:r>
    </w:p>
    <w:p w14:paraId="7B76FBB9" w14:textId="2C50177F" w:rsidR="00713E89" w:rsidRPr="00902AE5" w:rsidRDefault="00902AE5" w:rsidP="0004493C">
      <w:pPr>
        <w:jc w:val="both"/>
        <w:rPr>
          <w:noProof w:val="0"/>
        </w:rPr>
      </w:pPr>
      <w:r w:rsidRPr="00902AE5">
        <w:rPr>
          <w:noProof w:val="0"/>
        </w:rPr>
        <w:t>D</w:t>
      </w:r>
      <w:r w:rsidR="007B46A5">
        <w:rPr>
          <w:noProof w:val="0"/>
        </w:rPr>
        <w:t>azu d</w:t>
      </w:r>
      <w:r w:rsidRPr="00902AE5">
        <w:rPr>
          <w:noProof w:val="0"/>
        </w:rPr>
        <w:t xml:space="preserve">ie </w:t>
      </w:r>
      <w:r w:rsidR="007B46A5">
        <w:rPr>
          <w:noProof w:val="0"/>
        </w:rPr>
        <w:t xml:space="preserve">beiden </w:t>
      </w:r>
      <w:r w:rsidRPr="00902AE5">
        <w:rPr>
          <w:noProof w:val="0"/>
        </w:rPr>
        <w:t xml:space="preserve">Leiter der Studie, Dr. Serge Schneider vom LNS und </w:t>
      </w:r>
      <w:bookmarkStart w:id="0" w:name="_GoBack"/>
      <w:bookmarkEnd w:id="0"/>
      <w:r w:rsidRPr="00902AE5">
        <w:rPr>
          <w:noProof w:val="0"/>
        </w:rPr>
        <w:t>Marc Schmit</w:t>
      </w:r>
      <w:r w:rsidR="006105A3">
        <w:rPr>
          <w:noProof w:val="0"/>
        </w:rPr>
        <w:t>, der pharmazeutische Inspektor</w:t>
      </w:r>
      <w:r w:rsidRPr="00902AE5">
        <w:rPr>
          <w:noProof w:val="0"/>
        </w:rPr>
        <w:t xml:space="preserve"> vo</w:t>
      </w:r>
      <w:r w:rsidR="00146BDF">
        <w:rPr>
          <w:noProof w:val="0"/>
        </w:rPr>
        <w:t>n der</w:t>
      </w:r>
      <w:r w:rsidRPr="00902AE5">
        <w:rPr>
          <w:noProof w:val="0"/>
        </w:rPr>
        <w:t xml:space="preserve"> </w:t>
      </w:r>
      <w:r w:rsidR="00146BDF">
        <w:rPr>
          <w:noProof w:val="0"/>
        </w:rPr>
        <w:t>Gesundheitsdirektion</w:t>
      </w:r>
      <w:r w:rsidRPr="00902AE5">
        <w:rPr>
          <w:noProof w:val="0"/>
        </w:rPr>
        <w:t xml:space="preserve">: </w:t>
      </w:r>
      <w:r>
        <w:rPr>
          <w:noProof w:val="0"/>
        </w:rPr>
        <w:t>„</w:t>
      </w:r>
      <w:r w:rsidRPr="00902AE5">
        <w:rPr>
          <w:noProof w:val="0"/>
        </w:rPr>
        <w:t xml:space="preserve">In Luxemburg zugelassene Arzneimittel unterliegen strengen Qualitätskriterien, die von der Europäischen Arzneimittelagentur festgelegt werden. Nicht konforme oder gefälschte Arzneimittel können der </w:t>
      </w:r>
      <w:r w:rsidR="00207B34">
        <w:rPr>
          <w:noProof w:val="0"/>
        </w:rPr>
        <w:t>G</w:t>
      </w:r>
      <w:r w:rsidRPr="00902AE5">
        <w:rPr>
          <w:noProof w:val="0"/>
        </w:rPr>
        <w:t>esundheit schaden. Sie können Antibiotikaresistenzen, Infektionen oder unerwartete Nebenwirkungen verursachen und sogar zu einer erhöhten Sterblichkeit oder Morbidität führen. Eine aktuelle Studie verzeichnet mehr als 7000 Fälle, darunter mindestens 3600 Todesfälle zwischen 2006 und 2017 in Industrie- und Entwicklungsländern</w:t>
      </w:r>
      <w:r>
        <w:rPr>
          <w:noProof w:val="0"/>
        </w:rPr>
        <w:t>.</w:t>
      </w:r>
      <w:r w:rsidRPr="00902AE5">
        <w:rPr>
          <w:noProof w:val="0"/>
        </w:rPr>
        <w:t>"</w:t>
      </w:r>
    </w:p>
    <w:p w14:paraId="48B7954C" w14:textId="5E3E541F" w:rsidR="0096048C" w:rsidRPr="0096602B" w:rsidRDefault="0096602B" w:rsidP="0004493C">
      <w:pPr>
        <w:jc w:val="both"/>
        <w:rPr>
          <w:noProof w:val="0"/>
        </w:rPr>
      </w:pPr>
      <w:r w:rsidRPr="0096602B">
        <w:rPr>
          <w:noProof w:val="0"/>
        </w:rPr>
        <w:t xml:space="preserve">In den letzten fünf Jahren wurden 5570 Produkte vom Zoll beschlagnahmt. 55 % davon waren Medikamente zur Behandlung von Erektionsstörungen vom Typ "Viagra", die </w:t>
      </w:r>
      <w:proofErr w:type="spellStart"/>
      <w:r w:rsidRPr="0096602B">
        <w:rPr>
          <w:noProof w:val="0"/>
        </w:rPr>
        <w:t>Sildenafil</w:t>
      </w:r>
      <w:proofErr w:type="spellEnd"/>
      <w:r w:rsidRPr="0096602B">
        <w:rPr>
          <w:noProof w:val="0"/>
        </w:rPr>
        <w:t xml:space="preserve">, </w:t>
      </w:r>
      <w:proofErr w:type="spellStart"/>
      <w:r w:rsidRPr="0096602B">
        <w:rPr>
          <w:noProof w:val="0"/>
        </w:rPr>
        <w:t>Tadalafil</w:t>
      </w:r>
      <w:proofErr w:type="spellEnd"/>
      <w:r w:rsidRPr="0096602B">
        <w:rPr>
          <w:noProof w:val="0"/>
        </w:rPr>
        <w:t xml:space="preserve"> oder </w:t>
      </w:r>
      <w:proofErr w:type="spellStart"/>
      <w:r w:rsidRPr="0096602B">
        <w:rPr>
          <w:noProof w:val="0"/>
        </w:rPr>
        <w:t>Vardenafil</w:t>
      </w:r>
      <w:proofErr w:type="spellEnd"/>
      <w:r w:rsidRPr="0096602B">
        <w:rPr>
          <w:noProof w:val="0"/>
        </w:rPr>
        <w:t xml:space="preserve"> als Wirkstoff</w:t>
      </w:r>
      <w:r w:rsidR="007724E6">
        <w:rPr>
          <w:noProof w:val="0"/>
        </w:rPr>
        <w:t>e</w:t>
      </w:r>
      <w:r w:rsidRPr="0096602B">
        <w:rPr>
          <w:noProof w:val="0"/>
        </w:rPr>
        <w:t xml:space="preserve"> </w:t>
      </w:r>
      <w:r>
        <w:rPr>
          <w:noProof w:val="0"/>
        </w:rPr>
        <w:t>aufwiesen</w:t>
      </w:r>
      <w:r w:rsidRPr="0096602B">
        <w:rPr>
          <w:noProof w:val="0"/>
        </w:rPr>
        <w:t xml:space="preserve">. Das LNS-Team konzentrierte sich </w:t>
      </w:r>
      <w:r w:rsidR="00FE3606">
        <w:rPr>
          <w:noProof w:val="0"/>
        </w:rPr>
        <w:t xml:space="preserve">dabei </w:t>
      </w:r>
      <w:r w:rsidRPr="0096602B">
        <w:rPr>
          <w:noProof w:val="0"/>
        </w:rPr>
        <w:t xml:space="preserve">auf </w:t>
      </w:r>
      <w:r w:rsidR="00127D07">
        <w:rPr>
          <w:noProof w:val="0"/>
        </w:rPr>
        <w:t xml:space="preserve">– insgesamt </w:t>
      </w:r>
      <w:r w:rsidR="00812C29">
        <w:rPr>
          <w:noProof w:val="0"/>
        </w:rPr>
        <w:t xml:space="preserve">991 – </w:t>
      </w:r>
      <w:r w:rsidRPr="0096602B">
        <w:rPr>
          <w:noProof w:val="0"/>
        </w:rPr>
        <w:t xml:space="preserve">Medikamente, die </w:t>
      </w:r>
      <w:proofErr w:type="spellStart"/>
      <w:r w:rsidRPr="0096602B">
        <w:rPr>
          <w:noProof w:val="0"/>
        </w:rPr>
        <w:t>Sildenafil</w:t>
      </w:r>
      <w:proofErr w:type="spellEnd"/>
      <w:r w:rsidRPr="0096602B">
        <w:rPr>
          <w:noProof w:val="0"/>
        </w:rPr>
        <w:t xml:space="preserve"> enth</w:t>
      </w:r>
      <w:r w:rsidR="00812C29">
        <w:rPr>
          <w:noProof w:val="0"/>
        </w:rPr>
        <w:t>ielten</w:t>
      </w:r>
      <w:r w:rsidRPr="0096602B">
        <w:rPr>
          <w:noProof w:val="0"/>
        </w:rPr>
        <w:t xml:space="preserve">. Untersucht wurden die Menge an </w:t>
      </w:r>
      <w:proofErr w:type="spellStart"/>
      <w:r w:rsidRPr="0096602B">
        <w:rPr>
          <w:noProof w:val="0"/>
        </w:rPr>
        <w:t>Sildenafil</w:t>
      </w:r>
      <w:proofErr w:type="spellEnd"/>
      <w:r w:rsidRPr="0096602B">
        <w:rPr>
          <w:noProof w:val="0"/>
        </w:rPr>
        <w:t xml:space="preserve"> und das Vorhandensein von nicht deklarierten Schadstoffen.</w:t>
      </w:r>
    </w:p>
    <w:p w14:paraId="0AEFB0E3" w14:textId="3F74D55C" w:rsidR="001173D3" w:rsidRPr="00D848B7" w:rsidRDefault="0096602B" w:rsidP="0004493C">
      <w:pPr>
        <w:jc w:val="both"/>
        <w:rPr>
          <w:noProof w:val="0"/>
        </w:rPr>
      </w:pPr>
      <w:r w:rsidRPr="0096602B">
        <w:rPr>
          <w:noProof w:val="0"/>
        </w:rPr>
        <w:lastRenderedPageBreak/>
        <w:t xml:space="preserve">Die Ergebnisse zeigen, dass zwischen 2016 und 2020 der Anteil der Tabletten mit einer der Kennzeichnung entsprechenden Dosierung von 38,5 % auf 67,3 % anstieg und das Vorhandensein von nicht angegebenen Verunreinigungen von 36,5 % auf 15,9 % zurückging. </w:t>
      </w:r>
      <w:r w:rsidRPr="00D848B7">
        <w:rPr>
          <w:noProof w:val="0"/>
        </w:rPr>
        <w:t xml:space="preserve">Dennoch entsprach auch 2021 noch </w:t>
      </w:r>
      <w:r w:rsidR="00710D62">
        <w:rPr>
          <w:noProof w:val="0"/>
        </w:rPr>
        <w:t>rund eine</w:t>
      </w:r>
      <w:r w:rsidRPr="00D848B7">
        <w:rPr>
          <w:noProof w:val="0"/>
        </w:rPr>
        <w:t xml:space="preserve"> von </w:t>
      </w:r>
      <w:r w:rsidR="00710D62">
        <w:rPr>
          <w:noProof w:val="0"/>
        </w:rPr>
        <w:t>drei</w:t>
      </w:r>
      <w:r w:rsidRPr="00D848B7">
        <w:rPr>
          <w:noProof w:val="0"/>
        </w:rPr>
        <w:t xml:space="preserve"> Tabletten nicht den in der EU geforderten Qualitätskriterien, </w:t>
      </w:r>
      <w:r w:rsidR="00207B34" w:rsidRPr="00D848B7">
        <w:rPr>
          <w:noProof w:val="0"/>
        </w:rPr>
        <w:t>entweder,</w:t>
      </w:r>
      <w:r w:rsidRPr="00D848B7">
        <w:rPr>
          <w:noProof w:val="0"/>
        </w:rPr>
        <w:t xml:space="preserve"> weil d</w:t>
      </w:r>
      <w:r w:rsidR="00012549">
        <w:rPr>
          <w:noProof w:val="0"/>
        </w:rPr>
        <w:t>er</w:t>
      </w:r>
      <w:r w:rsidRPr="00D848B7">
        <w:rPr>
          <w:noProof w:val="0"/>
        </w:rPr>
        <w:t xml:space="preserve"> </w:t>
      </w:r>
      <w:proofErr w:type="spellStart"/>
      <w:r w:rsidRPr="00D848B7">
        <w:rPr>
          <w:noProof w:val="0"/>
        </w:rPr>
        <w:t>Sildenafil</w:t>
      </w:r>
      <w:proofErr w:type="spellEnd"/>
      <w:r w:rsidR="00012549">
        <w:rPr>
          <w:noProof w:val="0"/>
        </w:rPr>
        <w:t>-Anteil</w:t>
      </w:r>
      <w:r w:rsidRPr="00D848B7">
        <w:rPr>
          <w:noProof w:val="0"/>
        </w:rPr>
        <w:t xml:space="preserve"> nicht der Kennzeichnung entsprach (was zu einer Über- oder Unterdosierung führen kann) oder weil pharmazeutisch aktive Moleküle nachgewiesen wurden, </w:t>
      </w:r>
      <w:r w:rsidR="002C0FE5">
        <w:rPr>
          <w:noProof w:val="0"/>
        </w:rPr>
        <w:t>die</w:t>
      </w:r>
      <w:r w:rsidRPr="00D848B7">
        <w:rPr>
          <w:noProof w:val="0"/>
        </w:rPr>
        <w:t xml:space="preserve"> auf dem Etikett oder der Verpackung nicht angegeben waren.</w:t>
      </w:r>
    </w:p>
    <w:p w14:paraId="37565F3D" w14:textId="002A13C6" w:rsidR="00BD2C66" w:rsidRPr="00D848B7" w:rsidRDefault="00F60524" w:rsidP="0004493C">
      <w:pPr>
        <w:jc w:val="both"/>
        <w:rPr>
          <w:noProof w:val="0"/>
        </w:rPr>
      </w:pPr>
      <w:r>
        <w:rPr>
          <w:noProof w:val="0"/>
        </w:rPr>
        <w:t>Im Sinne</w:t>
      </w:r>
      <w:r w:rsidR="00D848B7" w:rsidRPr="00D848B7">
        <w:rPr>
          <w:noProof w:val="0"/>
        </w:rPr>
        <w:t xml:space="preserve"> der öffentlichen Gesundheit warnen die Behörden davor, auf illegalen Webseiten gefälschte und in der EU nicht zugelassene Arzneimittel einzukaufen. Der Online-Handel mit Medikamenten ist in Luxemburg nur für frei verkäufliche Medikamente und </w:t>
      </w:r>
      <w:r w:rsidR="000F3016">
        <w:rPr>
          <w:noProof w:val="0"/>
        </w:rPr>
        <w:t>ausschließlich</w:t>
      </w:r>
      <w:r w:rsidR="00D848B7" w:rsidRPr="00D848B7">
        <w:rPr>
          <w:noProof w:val="0"/>
        </w:rPr>
        <w:t xml:space="preserve"> </w:t>
      </w:r>
      <w:r w:rsidR="00D848B7">
        <w:rPr>
          <w:noProof w:val="0"/>
        </w:rPr>
        <w:t>auf</w:t>
      </w:r>
      <w:r w:rsidR="00D848B7" w:rsidRPr="00D848B7">
        <w:rPr>
          <w:noProof w:val="0"/>
        </w:rPr>
        <w:t xml:space="preserve"> Website</w:t>
      </w:r>
      <w:r w:rsidR="005D3003">
        <w:rPr>
          <w:noProof w:val="0"/>
        </w:rPr>
        <w:t>s</w:t>
      </w:r>
      <w:r w:rsidR="00D848B7" w:rsidRPr="00D848B7">
        <w:rPr>
          <w:noProof w:val="0"/>
        </w:rPr>
        <w:t xml:space="preserve"> mit einem offiziellen Logo erlaubt, das de</w:t>
      </w:r>
      <w:r w:rsidR="0053402D">
        <w:rPr>
          <w:noProof w:val="0"/>
        </w:rPr>
        <w:t xml:space="preserve">n </w:t>
      </w:r>
      <w:r w:rsidR="00207B34">
        <w:rPr>
          <w:noProof w:val="0"/>
        </w:rPr>
        <w:t>Käufern</w:t>
      </w:r>
      <w:r w:rsidR="00D848B7" w:rsidRPr="00D848B7">
        <w:rPr>
          <w:noProof w:val="0"/>
        </w:rPr>
        <w:t xml:space="preserve"> die Zulässigkeit des </w:t>
      </w:r>
      <w:r w:rsidR="00350341">
        <w:rPr>
          <w:noProof w:val="0"/>
        </w:rPr>
        <w:t>Anbieters</w:t>
      </w:r>
      <w:r w:rsidR="00D848B7" w:rsidRPr="00D848B7">
        <w:rPr>
          <w:noProof w:val="0"/>
        </w:rPr>
        <w:t xml:space="preserve"> garantiert.</w:t>
      </w:r>
    </w:p>
    <w:p w14:paraId="7AD35DA1" w14:textId="6947953B" w:rsidR="00BD2C66" w:rsidRPr="00D848B7" w:rsidRDefault="00BD2C66" w:rsidP="0004493C">
      <w:pPr>
        <w:jc w:val="both"/>
        <w:rPr>
          <w:noProof w:val="0"/>
        </w:rPr>
      </w:pPr>
    </w:p>
    <w:p w14:paraId="0CF20392" w14:textId="77777777" w:rsidR="00DB734B" w:rsidRDefault="00DB734B" w:rsidP="00DB734B">
      <w:pPr>
        <w:jc w:val="both"/>
        <w:rPr>
          <w:noProof w:val="0"/>
        </w:rPr>
      </w:pPr>
      <w:r>
        <w:rPr>
          <w:noProof w:val="0"/>
        </w:rPr>
        <w:t xml:space="preserve">Weitere Informationen über den Kauf von Medikamenten im Internet finden Sie auf dieser Seite: </w:t>
      </w:r>
    </w:p>
    <w:p w14:paraId="36F2729D" w14:textId="7049E0EE" w:rsidR="00BD2C66" w:rsidRPr="00D848B7" w:rsidRDefault="00AE7FA4" w:rsidP="00DB734B">
      <w:pPr>
        <w:jc w:val="both"/>
        <w:rPr>
          <w:noProof w:val="0"/>
        </w:rPr>
      </w:pPr>
      <w:hyperlink r:id="rId7" w:history="1">
        <w:r w:rsidR="00DB734B" w:rsidRPr="00D26739">
          <w:rPr>
            <w:rStyle w:val="Hyperlink"/>
            <w:noProof w:val="0"/>
          </w:rPr>
          <w:t>https://sante.public.lu/fr/espace-citoyen/dossiers-thematiques/m/medicaments-humains/achat-medicament-internet.html</w:t>
        </w:r>
      </w:hyperlink>
    </w:p>
    <w:p w14:paraId="5C641BF2" w14:textId="0083A617" w:rsidR="00BD2C66" w:rsidRDefault="00BD2C66" w:rsidP="0004493C">
      <w:pPr>
        <w:jc w:val="both"/>
        <w:rPr>
          <w:noProof w:val="0"/>
        </w:rPr>
      </w:pPr>
    </w:p>
    <w:p w14:paraId="558776D4" w14:textId="5E52A883" w:rsidR="00D26739" w:rsidRDefault="00D26739" w:rsidP="0004493C">
      <w:pPr>
        <w:jc w:val="both"/>
        <w:rPr>
          <w:noProof w:val="0"/>
        </w:rPr>
      </w:pPr>
    </w:p>
    <w:p w14:paraId="230BA1F2" w14:textId="486E9BCC" w:rsidR="00D26739" w:rsidRDefault="00D26739" w:rsidP="0004493C">
      <w:pPr>
        <w:jc w:val="both"/>
        <w:rPr>
          <w:noProof w:val="0"/>
        </w:rPr>
      </w:pPr>
    </w:p>
    <w:p w14:paraId="70E20153" w14:textId="23BC1EBE" w:rsidR="00D26739" w:rsidRDefault="00D26739" w:rsidP="0004493C">
      <w:pPr>
        <w:jc w:val="both"/>
        <w:rPr>
          <w:noProof w:val="0"/>
        </w:rPr>
      </w:pPr>
    </w:p>
    <w:p w14:paraId="02F42636" w14:textId="77777777" w:rsidR="00D26739" w:rsidRPr="00D848B7" w:rsidRDefault="00D26739" w:rsidP="0004493C">
      <w:pPr>
        <w:jc w:val="both"/>
        <w:rPr>
          <w:noProof w:val="0"/>
        </w:rPr>
      </w:pPr>
    </w:p>
    <w:p w14:paraId="67558718" w14:textId="77777777" w:rsidR="00B11B68" w:rsidRPr="00D45B20" w:rsidRDefault="00B11B68" w:rsidP="00B11B68">
      <w:pPr>
        <w:shd w:val="clear" w:color="auto" w:fill="FBD9D3"/>
        <w:jc w:val="both"/>
        <w:rPr>
          <w:rFonts w:asciiTheme="majorHAnsi" w:eastAsia="Times New Roman" w:hAnsiTheme="majorHAnsi" w:cstheme="majorHAnsi"/>
          <w:b/>
          <w:color w:val="222222"/>
          <w:sz w:val="20"/>
          <w:szCs w:val="20"/>
        </w:rPr>
      </w:pPr>
      <w:r w:rsidRPr="00D45B20">
        <w:rPr>
          <w:rFonts w:asciiTheme="majorHAnsi" w:eastAsia="Times New Roman" w:hAnsiTheme="majorHAnsi" w:cstheme="majorHAnsi"/>
          <w:b/>
          <w:color w:val="222222"/>
          <w:sz w:val="20"/>
          <w:szCs w:val="20"/>
        </w:rPr>
        <w:t>Laboratoire national de santé</w:t>
      </w:r>
    </w:p>
    <w:p w14:paraId="572C88B9" w14:textId="6AF70211" w:rsidR="00B11B68" w:rsidRDefault="00B11B68" w:rsidP="00B11B68">
      <w:pPr>
        <w:shd w:val="clear" w:color="auto" w:fill="FBD9D3"/>
        <w:jc w:val="both"/>
        <w:rPr>
          <w:rFonts w:asciiTheme="majorHAnsi" w:eastAsia="Times New Roman" w:hAnsiTheme="majorHAnsi" w:cstheme="majorHAnsi"/>
          <w:color w:val="222222"/>
          <w:sz w:val="20"/>
          <w:szCs w:val="20"/>
        </w:rPr>
      </w:pPr>
      <w:r w:rsidRPr="00D45B20">
        <w:rPr>
          <w:rFonts w:asciiTheme="majorHAnsi" w:eastAsia="Times New Roman" w:hAnsiTheme="majorHAnsi" w:cstheme="majorHAnsi"/>
          <w:color w:val="222222"/>
          <w:sz w:val="20"/>
          <w:szCs w:val="20"/>
        </w:rPr>
        <w:t>Das Laboratoire national de santé (LNS;</w:t>
      </w:r>
      <w:r>
        <w:rPr>
          <w:rFonts w:asciiTheme="majorHAnsi" w:eastAsia="Times New Roman" w:hAnsiTheme="majorHAnsi" w:cstheme="majorHAnsi"/>
          <w:color w:val="222222"/>
          <w:sz w:val="20"/>
          <w:szCs w:val="20"/>
        </w:rPr>
        <w:t xml:space="preserve"> www.lns.lu</w:t>
      </w:r>
      <w:r w:rsidRPr="00D45B20">
        <w:rPr>
          <w:rFonts w:asciiTheme="majorHAnsi" w:eastAsia="Times New Roman" w:hAnsiTheme="majorHAnsi" w:cstheme="majorHAnsi"/>
          <w:color w:val="222222"/>
          <w:sz w:val="20"/>
          <w:szCs w:val="20"/>
        </w:rPr>
        <w:t>) ist ein öffentlicher Gesundheitsakteur, der mit seiner internationalen Expertise eine wesentliche Säule des Gesundheitssystem Luxemburgs sowie der Nachbarregionen bildet. Bereits seit 1980 unter diesem Namen firmierend, wurde das LNS in seiner jetzigen Form durch das Gesetz vom 7. August 2012 geschaffen. Unter der Schirmherrschaft des Luxemburger Gesundheitsministeriums ist das LNS heute ein interdisziplinäres Institut, das mit seinem komplementären Team aus mehr als 3</w:t>
      </w:r>
      <w:r>
        <w:rPr>
          <w:rFonts w:asciiTheme="majorHAnsi" w:eastAsia="Times New Roman" w:hAnsiTheme="majorHAnsi" w:cstheme="majorHAnsi"/>
          <w:color w:val="222222"/>
          <w:sz w:val="20"/>
          <w:szCs w:val="20"/>
        </w:rPr>
        <w:t>6</w:t>
      </w:r>
      <w:r w:rsidRPr="00D45B20">
        <w:rPr>
          <w:rFonts w:asciiTheme="majorHAnsi" w:eastAsia="Times New Roman" w:hAnsiTheme="majorHAnsi" w:cstheme="majorHAnsi"/>
          <w:color w:val="222222"/>
          <w:sz w:val="20"/>
          <w:szCs w:val="20"/>
        </w:rPr>
        <w:t>0 MitarbeiterInnen relevante Exzellenz im Dienste der Gesundheit von Land und Leuten anbietet. An seinem im Jahr 2013 eingeweihten Sitz in Dudelange verfügt das LNS hierzu über seine vier wissenschaftlichen Abteilungen in den Bereichen Biomedizin, Mikrobiologie, Rechtsmedizin und Gesundheitsschutz, sowie über das National Center of Pathology bzw. das National Center of Genetics. Neben dem Professionalismus jedes einzelnen Mitarbeiters und der gezielten Nutzung hochmoderner Technologien baut die Entwicklungsstrategie des LNS auf Forschungspartnerschaften und Projektkooperation mit unterschiedlichen Akteuren sowohl innerhalb Luxemburgs als auch auf europäischer Ebene auf.</w:t>
      </w:r>
    </w:p>
    <w:sectPr w:rsidR="00B11B68" w:rsidSect="00BD2C66">
      <w:headerReference w:type="default" r:id="rId8"/>
      <w:footerReference w:type="default" r:id="rId9"/>
      <w:pgSz w:w="12240" w:h="15840"/>
      <w:pgMar w:top="1440" w:right="1440" w:bottom="1440" w:left="1440" w:header="720" w:footer="58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A2AD1" w16cex:dateUtc="2022-10-31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07C006" w16cid:durableId="270A2A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E4F82" w14:textId="77777777" w:rsidR="00990E9E" w:rsidRDefault="00990E9E" w:rsidP="00BD2C66">
      <w:pPr>
        <w:spacing w:after="0" w:line="240" w:lineRule="auto"/>
      </w:pPr>
      <w:r>
        <w:separator/>
      </w:r>
    </w:p>
  </w:endnote>
  <w:endnote w:type="continuationSeparator" w:id="0">
    <w:p w14:paraId="7D7126B1" w14:textId="77777777" w:rsidR="00990E9E" w:rsidRDefault="00990E9E" w:rsidP="00BD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Book">
    <w:charset w:val="00"/>
    <w:family w:val="auto"/>
    <w:pitch w:val="variable"/>
    <w:sig w:usb0="A00000AF" w:usb1="4000207B" w:usb2="00000000" w:usb3="00000000" w:csb0="0000008B" w:csb1="00000000"/>
  </w:font>
  <w:font w:name="Calibri Light">
    <w:panose1 w:val="020F0302020204030204"/>
    <w:charset w:val="00"/>
    <w:family w:val="swiss"/>
    <w:pitch w:val="variable"/>
    <w:sig w:usb0="E4002EFF" w:usb1="C000247B" w:usb2="00000009" w:usb3="00000000" w:csb0="000001FF" w:csb1="00000000"/>
  </w:font>
  <w:font w:name="DIN-Regula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B3D97" w14:textId="77777777" w:rsidR="00BD2C66" w:rsidRDefault="00BD2C66" w:rsidP="00BD2C66">
    <w:pPr>
      <w:pStyle w:val="INDR-Texte"/>
      <w:tabs>
        <w:tab w:val="right" w:pos="9639"/>
      </w:tabs>
      <w:spacing w:line="240" w:lineRule="auto"/>
      <w:rPr>
        <w:rFonts w:cs="DIN-Regular"/>
        <w:sz w:val="17"/>
        <w:szCs w:val="17"/>
      </w:rPr>
    </w:pPr>
  </w:p>
  <w:p w14:paraId="1A2E8157" w14:textId="5B90C5F3" w:rsidR="00BD2C66" w:rsidRPr="00D906E5" w:rsidRDefault="00110704" w:rsidP="00BD2C66">
    <w:pPr>
      <w:pStyle w:val="INDR-Texte"/>
      <w:tabs>
        <w:tab w:val="right" w:pos="9639"/>
      </w:tabs>
      <w:spacing w:line="240" w:lineRule="auto"/>
      <w:rPr>
        <w:rFonts w:cs="DIN-Regular"/>
        <w:sz w:val="17"/>
        <w:szCs w:val="17"/>
      </w:rPr>
    </w:pPr>
    <w:proofErr w:type="spellStart"/>
    <w:r>
      <w:rPr>
        <w:rFonts w:cs="DIN-Regular"/>
        <w:sz w:val="17"/>
        <w:szCs w:val="17"/>
      </w:rPr>
      <w:t>K</w:t>
    </w:r>
    <w:r w:rsidR="00BD2C66">
      <w:rPr>
        <w:rFonts w:cs="DIN-Regular"/>
        <w:sz w:val="17"/>
        <w:szCs w:val="17"/>
      </w:rPr>
      <w:t>ommuni</w:t>
    </w:r>
    <w:r w:rsidR="002C0FE5">
      <w:rPr>
        <w:rFonts w:cs="DIN-Regular"/>
        <w:sz w:val="17"/>
        <w:szCs w:val="17"/>
      </w:rPr>
      <w:t>k</w:t>
    </w:r>
    <w:r w:rsidR="00BD2C66">
      <w:rPr>
        <w:rFonts w:cs="DIN-Regular"/>
        <w:sz w:val="17"/>
        <w:szCs w:val="17"/>
      </w:rPr>
      <w:t>ation</w:t>
    </w:r>
    <w:proofErr w:type="spellEnd"/>
  </w:p>
  <w:p w14:paraId="05249C09" w14:textId="77777777" w:rsidR="00BD2C66" w:rsidRPr="00D906E5" w:rsidRDefault="00BD2C66" w:rsidP="00BD2C66">
    <w:pPr>
      <w:pStyle w:val="INDR-Texte"/>
      <w:tabs>
        <w:tab w:val="right" w:pos="9639"/>
      </w:tabs>
      <w:spacing w:line="240" w:lineRule="auto"/>
      <w:rPr>
        <w:rFonts w:cs="DIN-Regular"/>
        <w:sz w:val="17"/>
        <w:szCs w:val="17"/>
      </w:rPr>
    </w:pPr>
  </w:p>
  <w:p w14:paraId="6882A5F0" w14:textId="77777777" w:rsidR="00BD2C66" w:rsidRPr="00D906E5" w:rsidRDefault="00BD2C66" w:rsidP="00BD2C66">
    <w:pPr>
      <w:pStyle w:val="INDR-Texte"/>
      <w:tabs>
        <w:tab w:val="right" w:pos="9639"/>
      </w:tabs>
      <w:spacing w:line="240" w:lineRule="auto"/>
      <w:rPr>
        <w:rFonts w:cs="DIN-Regular"/>
        <w:sz w:val="17"/>
        <w:szCs w:val="17"/>
      </w:rPr>
    </w:pPr>
    <w:r w:rsidRPr="00D906E5">
      <w:rPr>
        <w:rFonts w:cs="DIN-Regular"/>
        <w:sz w:val="17"/>
        <w:szCs w:val="17"/>
      </w:rPr>
      <w:t xml:space="preserve">Laboratoire national de santé </w:t>
    </w:r>
    <w:r w:rsidRPr="00D906E5">
      <w:rPr>
        <w:rFonts w:cs="DIN-Regular"/>
        <w:b/>
        <w:sz w:val="17"/>
        <w:szCs w:val="17"/>
      </w:rPr>
      <w:t xml:space="preserve">| </w:t>
    </w:r>
    <w:r w:rsidRPr="00D906E5">
      <w:rPr>
        <w:rFonts w:cs="DIN-Regular"/>
        <w:sz w:val="17"/>
        <w:szCs w:val="17"/>
      </w:rPr>
      <w:t xml:space="preserve">1, rue Louis </w:t>
    </w:r>
    <w:proofErr w:type="spellStart"/>
    <w:r w:rsidRPr="00D906E5">
      <w:rPr>
        <w:rFonts w:cs="DIN-Regular"/>
        <w:sz w:val="17"/>
        <w:szCs w:val="17"/>
      </w:rPr>
      <w:t>Rech</w:t>
    </w:r>
    <w:proofErr w:type="spellEnd"/>
    <w:r w:rsidRPr="00D906E5">
      <w:rPr>
        <w:rFonts w:cs="DIN-Regular"/>
        <w:sz w:val="17"/>
        <w:szCs w:val="17"/>
      </w:rPr>
      <w:t xml:space="preserve"> </w:t>
    </w:r>
    <w:r w:rsidRPr="00D906E5">
      <w:rPr>
        <w:rFonts w:cs="DIN-Regular"/>
        <w:b/>
        <w:sz w:val="17"/>
        <w:szCs w:val="17"/>
      </w:rPr>
      <w:t xml:space="preserve">| </w:t>
    </w:r>
    <w:r w:rsidRPr="00D906E5">
      <w:rPr>
        <w:rFonts w:cs="DIN-Regular"/>
        <w:sz w:val="17"/>
        <w:szCs w:val="17"/>
      </w:rPr>
      <w:t>L-3555 Dudelange</w:t>
    </w:r>
  </w:p>
  <w:p w14:paraId="7724C984" w14:textId="3BBBEA5A" w:rsidR="00BD2C66" w:rsidRPr="002E1373" w:rsidRDefault="00BD2C66" w:rsidP="00BD2C66">
    <w:pPr>
      <w:pStyle w:val="INDR-Texte"/>
      <w:tabs>
        <w:tab w:val="left" w:pos="9356"/>
      </w:tabs>
      <w:spacing w:line="240" w:lineRule="auto"/>
      <w:ind w:right="-851"/>
      <w:rPr>
        <w:rFonts w:ascii="Calibri Light" w:hAnsi="Calibri Light" w:cs="DIN-Regular"/>
        <w:sz w:val="17"/>
        <w:szCs w:val="17"/>
      </w:rPr>
    </w:pPr>
    <w:r w:rsidRPr="00D906E5">
      <w:rPr>
        <w:rFonts w:cs="DIN-Regular"/>
        <w:sz w:val="17"/>
        <w:szCs w:val="17"/>
      </w:rPr>
      <w:t xml:space="preserve">T : (+352) 28 100 - </w:t>
    </w:r>
    <w:r>
      <w:rPr>
        <w:rFonts w:cs="DIN-Regular"/>
        <w:sz w:val="17"/>
        <w:szCs w:val="17"/>
      </w:rPr>
      <w:t>3</w:t>
    </w:r>
    <w:r w:rsidR="004C49AF">
      <w:rPr>
        <w:rFonts w:cs="DIN-Regular"/>
        <w:sz w:val="17"/>
        <w:szCs w:val="17"/>
      </w:rPr>
      <w:t>14</w:t>
    </w:r>
    <w:r w:rsidRPr="00D906E5">
      <w:rPr>
        <w:rFonts w:cs="DIN-Regular"/>
        <w:sz w:val="17"/>
        <w:szCs w:val="17"/>
      </w:rPr>
      <w:t xml:space="preserve"> </w:t>
    </w:r>
    <w:r w:rsidRPr="00D906E5">
      <w:rPr>
        <w:rFonts w:cs="DIN-Regular"/>
        <w:b/>
        <w:sz w:val="17"/>
        <w:szCs w:val="17"/>
      </w:rPr>
      <w:t xml:space="preserve">| </w:t>
    </w:r>
    <w:r w:rsidRPr="00D906E5">
      <w:rPr>
        <w:rFonts w:cs="DIN-Regular"/>
        <w:sz w:val="17"/>
        <w:szCs w:val="17"/>
      </w:rPr>
      <w:t xml:space="preserve">F : (+352) 28 100 - </w:t>
    </w:r>
    <w:r>
      <w:rPr>
        <w:rFonts w:cs="DIN-Regular"/>
        <w:sz w:val="17"/>
        <w:szCs w:val="17"/>
      </w:rPr>
      <w:t>303</w:t>
    </w:r>
    <w:r w:rsidRPr="00D906E5">
      <w:rPr>
        <w:rFonts w:cs="DIN-Regular"/>
        <w:b/>
        <w:sz w:val="17"/>
        <w:szCs w:val="17"/>
      </w:rPr>
      <w:t xml:space="preserve">| </w:t>
    </w:r>
    <w:r>
      <w:rPr>
        <w:rFonts w:cs="DIN-Regular"/>
        <w:sz w:val="17"/>
        <w:szCs w:val="17"/>
      </w:rPr>
      <w:t>communication</w:t>
    </w:r>
    <w:r w:rsidRPr="00D906E5">
      <w:rPr>
        <w:rFonts w:cs="DIN-Regular"/>
        <w:sz w:val="17"/>
        <w:szCs w:val="17"/>
      </w:rPr>
      <w:t xml:space="preserve">@lns.etat.lu </w:t>
    </w:r>
    <w:r w:rsidRPr="00D906E5">
      <w:rPr>
        <w:rFonts w:cs="DIN-Regular"/>
        <w:b/>
        <w:sz w:val="17"/>
        <w:szCs w:val="17"/>
      </w:rPr>
      <w:t xml:space="preserve">| </w:t>
    </w:r>
    <w:r w:rsidRPr="00D906E5">
      <w:rPr>
        <w:rFonts w:cs="DIN-Regular"/>
        <w:sz w:val="17"/>
        <w:szCs w:val="17"/>
      </w:rPr>
      <w:t>www</w:t>
    </w:r>
    <w:r w:rsidRPr="00D906E5">
      <w:rPr>
        <w:rFonts w:cs="DIN-Regular"/>
        <w:color w:val="00A0D6"/>
        <w:sz w:val="17"/>
        <w:szCs w:val="17"/>
      </w:rPr>
      <w:t>.</w:t>
    </w:r>
    <w:r w:rsidRPr="00D906E5">
      <w:rPr>
        <w:rFonts w:cs="DIN-Regular"/>
        <w:sz w:val="17"/>
        <w:szCs w:val="17"/>
      </w:rPr>
      <w:t>lns</w:t>
    </w:r>
    <w:r w:rsidRPr="00D906E5">
      <w:rPr>
        <w:rFonts w:cs="DIN-Regular"/>
        <w:color w:val="CE1C2B"/>
        <w:sz w:val="17"/>
        <w:szCs w:val="17"/>
      </w:rPr>
      <w:t>.</w:t>
    </w:r>
    <w:r w:rsidRPr="00D906E5">
      <w:rPr>
        <w:rFonts w:cs="DIN-Regular"/>
        <w:sz w:val="17"/>
        <w:szCs w:val="17"/>
      </w:rPr>
      <w:t>lu</w:t>
    </w:r>
    <w:r w:rsidRPr="002E1373">
      <w:rPr>
        <w:rFonts w:ascii="Calibri Light" w:hAnsi="Calibri Light" w:cs="DIN-Regular"/>
        <w:sz w:val="17"/>
        <w:szCs w:val="17"/>
      </w:rPr>
      <w:tab/>
    </w:r>
    <w:r w:rsidRPr="002E1373">
      <w:rPr>
        <w:rFonts w:ascii="Calibri Light" w:hAnsi="Calibri Light" w:cs="DIN-Regular"/>
        <w:sz w:val="17"/>
        <w:szCs w:val="17"/>
      </w:rPr>
      <w:fldChar w:fldCharType="begin"/>
    </w:r>
    <w:r w:rsidRPr="002E1373">
      <w:rPr>
        <w:rFonts w:ascii="Calibri Light" w:hAnsi="Calibri Light" w:cs="DIN-Regular"/>
        <w:sz w:val="17"/>
        <w:szCs w:val="17"/>
      </w:rPr>
      <w:instrText xml:space="preserve"> PAGE  \* MERGEFORMAT </w:instrText>
    </w:r>
    <w:r w:rsidRPr="002E1373">
      <w:rPr>
        <w:rFonts w:ascii="Calibri Light" w:hAnsi="Calibri Light" w:cs="DIN-Regular"/>
        <w:sz w:val="17"/>
        <w:szCs w:val="17"/>
      </w:rPr>
      <w:fldChar w:fldCharType="separate"/>
    </w:r>
    <w:r w:rsidR="00AE7FA4">
      <w:rPr>
        <w:rFonts w:ascii="Calibri Light" w:hAnsi="Calibri Light" w:cs="DIN-Regular"/>
        <w:noProof/>
        <w:sz w:val="17"/>
        <w:szCs w:val="17"/>
      </w:rPr>
      <w:t>2</w:t>
    </w:r>
    <w:r w:rsidRPr="002E1373">
      <w:rPr>
        <w:rFonts w:ascii="Calibri Light" w:hAnsi="Calibri Light" w:cs="DIN-Regular"/>
        <w:sz w:val="17"/>
        <w:szCs w:val="17"/>
      </w:rPr>
      <w:fldChar w:fldCharType="end"/>
    </w:r>
    <w:r w:rsidRPr="002E1373">
      <w:rPr>
        <w:rFonts w:ascii="Calibri Light" w:hAnsi="Calibri Light" w:cs="DIN-Regular"/>
        <w:sz w:val="17"/>
        <w:szCs w:val="17"/>
      </w:rPr>
      <w:t xml:space="preserve"> / </w:t>
    </w:r>
    <w:r w:rsidRPr="002E1373">
      <w:rPr>
        <w:rFonts w:ascii="Calibri Light" w:hAnsi="Calibri Light" w:cs="DIN-Regular"/>
        <w:sz w:val="17"/>
        <w:szCs w:val="17"/>
      </w:rPr>
      <w:fldChar w:fldCharType="begin"/>
    </w:r>
    <w:r w:rsidRPr="002E1373">
      <w:rPr>
        <w:rFonts w:ascii="Calibri Light" w:hAnsi="Calibri Light" w:cs="DIN-Regular"/>
        <w:sz w:val="17"/>
        <w:szCs w:val="17"/>
      </w:rPr>
      <w:instrText xml:space="preserve"> NUMPAGES  \* MERGEFORMAT </w:instrText>
    </w:r>
    <w:r w:rsidRPr="002E1373">
      <w:rPr>
        <w:rFonts w:ascii="Calibri Light" w:hAnsi="Calibri Light" w:cs="DIN-Regular"/>
        <w:sz w:val="17"/>
        <w:szCs w:val="17"/>
      </w:rPr>
      <w:fldChar w:fldCharType="separate"/>
    </w:r>
    <w:r w:rsidR="00AE7FA4">
      <w:rPr>
        <w:rFonts w:ascii="Calibri Light" w:hAnsi="Calibri Light" w:cs="DIN-Regular"/>
        <w:noProof/>
        <w:sz w:val="17"/>
        <w:szCs w:val="17"/>
      </w:rPr>
      <w:t>2</w:t>
    </w:r>
    <w:r w:rsidRPr="002E1373">
      <w:rPr>
        <w:rFonts w:ascii="Calibri Light" w:hAnsi="Calibri Light" w:cs="DIN-Regular"/>
        <w:sz w:val="17"/>
        <w:szCs w:val="17"/>
      </w:rPr>
      <w:fldChar w:fldCharType="end"/>
    </w:r>
  </w:p>
  <w:p w14:paraId="5953CB48" w14:textId="77777777" w:rsidR="00BD2C66" w:rsidRPr="003E210D" w:rsidRDefault="00BD2C66" w:rsidP="00BD2C66">
    <w:pPr>
      <w:pStyle w:val="Footer"/>
      <w:rPr>
        <w:lang w:val="fr-LU"/>
      </w:rPr>
    </w:pPr>
  </w:p>
  <w:p w14:paraId="1FDD3DEB" w14:textId="77777777" w:rsidR="00BD2C66" w:rsidRDefault="00BD2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5B42D" w14:textId="77777777" w:rsidR="00990E9E" w:rsidRDefault="00990E9E" w:rsidP="00BD2C66">
      <w:pPr>
        <w:spacing w:after="0" w:line="240" w:lineRule="auto"/>
      </w:pPr>
      <w:r>
        <w:separator/>
      </w:r>
    </w:p>
  </w:footnote>
  <w:footnote w:type="continuationSeparator" w:id="0">
    <w:p w14:paraId="38FEA1D9" w14:textId="77777777" w:rsidR="00990E9E" w:rsidRDefault="00990E9E" w:rsidP="00BD2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8260" w14:textId="77777777" w:rsidR="00BD2C66" w:rsidRDefault="00BD2C66" w:rsidP="00BD2C66">
    <w:pPr>
      <w:jc w:val="right"/>
      <w:rPr>
        <w:rFonts w:ascii="Calibri" w:hAnsi="Calibri"/>
        <w:lang w:val="fr-FR"/>
      </w:rPr>
    </w:pPr>
  </w:p>
  <w:p w14:paraId="34A582EE" w14:textId="160DDE97" w:rsidR="00BD2C66" w:rsidRPr="00A52EAB" w:rsidRDefault="00823824" w:rsidP="00BD2C66">
    <w:pPr>
      <w:jc w:val="right"/>
      <w:rPr>
        <w:lang w:val="fr-FR"/>
      </w:rPr>
    </w:pPr>
    <w:r>
      <w:rPr>
        <w:rFonts w:ascii="Calibri" w:hAnsi="Calibri"/>
        <w:lang w:val="fr-FR"/>
      </w:rPr>
      <w:t>Pressemitteilung</w:t>
    </w:r>
  </w:p>
  <w:p w14:paraId="4C9CBB87" w14:textId="2CFB4A80" w:rsidR="00BD2C66" w:rsidRPr="00A52EAB" w:rsidRDefault="00BD2C66" w:rsidP="00BD2C66">
    <w:pPr>
      <w:tabs>
        <w:tab w:val="center" w:pos="4680"/>
        <w:tab w:val="right" w:pos="9360"/>
      </w:tabs>
      <w:rPr>
        <w:rFonts w:ascii="Calibri" w:hAnsi="Calibri"/>
        <w:lang w:val="fr-FR"/>
      </w:rPr>
    </w:pPr>
    <w:r w:rsidRPr="00A52EAB">
      <w:rPr>
        <w:rFonts w:ascii="Calibri" w:hAnsi="Calibri"/>
        <w:lang w:val="fr-FR"/>
      </w:rPr>
      <w:tab/>
    </w:r>
    <w:r w:rsidRPr="00A52EAB">
      <w:rPr>
        <w:rFonts w:ascii="Calibri" w:hAnsi="Calibri"/>
        <w:lang w:val="fr-FR"/>
      </w:rPr>
      <w:tab/>
    </w:r>
    <w:r w:rsidR="00D26739">
      <w:rPr>
        <w:rFonts w:ascii="Calibri" w:hAnsi="Calibri"/>
        <w:lang w:val="fr-FR"/>
      </w:rPr>
      <w:t>23.</w:t>
    </w:r>
    <w:r>
      <w:rPr>
        <w:rFonts w:ascii="Calibri" w:hAnsi="Calibri"/>
        <w:lang w:val="fr-FR"/>
      </w:rPr>
      <w:t xml:space="preserve"> </w:t>
    </w:r>
    <w:r w:rsidR="00D26739">
      <w:rPr>
        <w:rFonts w:ascii="Calibri" w:hAnsi="Calibri"/>
        <w:lang w:val="fr-FR"/>
      </w:rPr>
      <w:t>November</w:t>
    </w:r>
    <w:r>
      <w:rPr>
        <w:rFonts w:ascii="Calibri" w:hAnsi="Calibri"/>
        <w:lang w:val="fr-FR"/>
      </w:rPr>
      <w:t xml:space="preserve"> 2022</w:t>
    </w:r>
  </w:p>
  <w:p w14:paraId="70701286" w14:textId="39B74018" w:rsidR="00BD2C66" w:rsidRDefault="00BD2C66">
    <w:pPr>
      <w:pStyle w:val="Header"/>
    </w:pPr>
    <w:r w:rsidRPr="00A52EAB">
      <w:rPr>
        <w:rFonts w:ascii="DIN-Regular" w:hAnsi="DIN-Regular"/>
        <w:lang w:val="en-US"/>
      </w:rPr>
      <w:drawing>
        <wp:anchor distT="0" distB="0" distL="114300" distR="114300" simplePos="0" relativeHeight="251659264" behindDoc="0" locked="0" layoutInCell="1" allowOverlap="1" wp14:anchorId="4622AFB6" wp14:editId="3BBBAE89">
          <wp:simplePos x="0" y="0"/>
          <wp:positionH relativeFrom="page">
            <wp:posOffset>914400</wp:posOffset>
          </wp:positionH>
          <wp:positionV relativeFrom="page">
            <wp:posOffset>457200</wp:posOffset>
          </wp:positionV>
          <wp:extent cx="1526870" cy="720000"/>
          <wp:effectExtent l="0" t="0" r="0" b="0"/>
          <wp:wrapNone/>
          <wp:docPr id="8" name="Image 1" descr="graphique:  CLIENTS PLAN K:LNS - Laboratoire national de santé:15121-03-LNS-Corporate_identity:02-construction:en-tête: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que:  CLIENTS PLAN K:LNS - Laboratoire national de santé:15121-03-LNS-Corporate_identity:02-construction:en-tête:logo.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870" cy="720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4F"/>
    <w:rsid w:val="00012549"/>
    <w:rsid w:val="00023A1C"/>
    <w:rsid w:val="0004493C"/>
    <w:rsid w:val="00045104"/>
    <w:rsid w:val="00067C2C"/>
    <w:rsid w:val="00074766"/>
    <w:rsid w:val="000F3016"/>
    <w:rsid w:val="00102C22"/>
    <w:rsid w:val="00110704"/>
    <w:rsid w:val="001173D3"/>
    <w:rsid w:val="00127D07"/>
    <w:rsid w:val="001453AC"/>
    <w:rsid w:val="00146BDF"/>
    <w:rsid w:val="001475BB"/>
    <w:rsid w:val="001728FE"/>
    <w:rsid w:val="001808E7"/>
    <w:rsid w:val="001A0161"/>
    <w:rsid w:val="001D7383"/>
    <w:rsid w:val="00207B34"/>
    <w:rsid w:val="00210475"/>
    <w:rsid w:val="00222DAC"/>
    <w:rsid w:val="002766D1"/>
    <w:rsid w:val="00281778"/>
    <w:rsid w:val="002914A2"/>
    <w:rsid w:val="002A087A"/>
    <w:rsid w:val="002C0FE5"/>
    <w:rsid w:val="002D6750"/>
    <w:rsid w:val="002E0C3B"/>
    <w:rsid w:val="002E4C01"/>
    <w:rsid w:val="00324526"/>
    <w:rsid w:val="00350341"/>
    <w:rsid w:val="00361E4F"/>
    <w:rsid w:val="00381F6B"/>
    <w:rsid w:val="003A447A"/>
    <w:rsid w:val="003C6913"/>
    <w:rsid w:val="00406FBD"/>
    <w:rsid w:val="00424DC0"/>
    <w:rsid w:val="00494806"/>
    <w:rsid w:val="004A5755"/>
    <w:rsid w:val="004B3894"/>
    <w:rsid w:val="004C49AF"/>
    <w:rsid w:val="0051530C"/>
    <w:rsid w:val="00532F74"/>
    <w:rsid w:val="0053402D"/>
    <w:rsid w:val="00541C65"/>
    <w:rsid w:val="00547F5F"/>
    <w:rsid w:val="005667BD"/>
    <w:rsid w:val="005C44BE"/>
    <w:rsid w:val="005D1A51"/>
    <w:rsid w:val="005D3003"/>
    <w:rsid w:val="00607E12"/>
    <w:rsid w:val="006105A3"/>
    <w:rsid w:val="006411D6"/>
    <w:rsid w:val="0064438F"/>
    <w:rsid w:val="00671C67"/>
    <w:rsid w:val="00685A10"/>
    <w:rsid w:val="006F2A1D"/>
    <w:rsid w:val="00710D62"/>
    <w:rsid w:val="00713E89"/>
    <w:rsid w:val="007553CC"/>
    <w:rsid w:val="007724E6"/>
    <w:rsid w:val="007B46A5"/>
    <w:rsid w:val="007D4193"/>
    <w:rsid w:val="007E6F46"/>
    <w:rsid w:val="00806E34"/>
    <w:rsid w:val="00812C29"/>
    <w:rsid w:val="00823824"/>
    <w:rsid w:val="00864D73"/>
    <w:rsid w:val="00883840"/>
    <w:rsid w:val="008A58AC"/>
    <w:rsid w:val="008D314B"/>
    <w:rsid w:val="008F728F"/>
    <w:rsid w:val="00902AE5"/>
    <w:rsid w:val="0096048C"/>
    <w:rsid w:val="0096602B"/>
    <w:rsid w:val="00982E20"/>
    <w:rsid w:val="00986D80"/>
    <w:rsid w:val="00990E9E"/>
    <w:rsid w:val="009A458E"/>
    <w:rsid w:val="009B5C28"/>
    <w:rsid w:val="00A513A3"/>
    <w:rsid w:val="00A63A36"/>
    <w:rsid w:val="00A8427C"/>
    <w:rsid w:val="00AD1295"/>
    <w:rsid w:val="00AE1F17"/>
    <w:rsid w:val="00AE7FA4"/>
    <w:rsid w:val="00AF5F64"/>
    <w:rsid w:val="00B00E47"/>
    <w:rsid w:val="00B11B68"/>
    <w:rsid w:val="00B134BB"/>
    <w:rsid w:val="00B15C2F"/>
    <w:rsid w:val="00B5254C"/>
    <w:rsid w:val="00B646D5"/>
    <w:rsid w:val="00B71029"/>
    <w:rsid w:val="00B95404"/>
    <w:rsid w:val="00BD2C66"/>
    <w:rsid w:val="00BF7F3B"/>
    <w:rsid w:val="00C11FCC"/>
    <w:rsid w:val="00C15F4F"/>
    <w:rsid w:val="00C22706"/>
    <w:rsid w:val="00C31584"/>
    <w:rsid w:val="00C45D99"/>
    <w:rsid w:val="00C5325A"/>
    <w:rsid w:val="00C653FD"/>
    <w:rsid w:val="00C86E05"/>
    <w:rsid w:val="00CB3D3A"/>
    <w:rsid w:val="00CB652C"/>
    <w:rsid w:val="00CC1684"/>
    <w:rsid w:val="00CD52EF"/>
    <w:rsid w:val="00D26739"/>
    <w:rsid w:val="00D71861"/>
    <w:rsid w:val="00D80086"/>
    <w:rsid w:val="00D848B7"/>
    <w:rsid w:val="00D84D02"/>
    <w:rsid w:val="00D900BE"/>
    <w:rsid w:val="00DA7E8A"/>
    <w:rsid w:val="00DB734B"/>
    <w:rsid w:val="00DC178C"/>
    <w:rsid w:val="00DF0692"/>
    <w:rsid w:val="00DF689F"/>
    <w:rsid w:val="00E26BFB"/>
    <w:rsid w:val="00E6125C"/>
    <w:rsid w:val="00E85519"/>
    <w:rsid w:val="00EA43A6"/>
    <w:rsid w:val="00F04D8F"/>
    <w:rsid w:val="00F11566"/>
    <w:rsid w:val="00F53EE3"/>
    <w:rsid w:val="00F60524"/>
    <w:rsid w:val="00F916A5"/>
    <w:rsid w:val="00FB3F5B"/>
    <w:rsid w:val="00FE3606"/>
    <w:rsid w:val="00FE58B0"/>
    <w:rsid w:val="00FF4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A34CFA"/>
  <w15:chartTrackingRefBased/>
  <w15:docId w15:val="{BDFD8FB2-FC6F-41E8-9AC1-8F074D44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3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A36"/>
    <w:rPr>
      <w:rFonts w:ascii="Segoe UI" w:hAnsi="Segoe UI" w:cs="Segoe UI"/>
      <w:noProof/>
      <w:sz w:val="18"/>
      <w:szCs w:val="18"/>
    </w:rPr>
  </w:style>
  <w:style w:type="paragraph" w:styleId="Revision">
    <w:name w:val="Revision"/>
    <w:hidden/>
    <w:uiPriority w:val="99"/>
    <w:semiHidden/>
    <w:rsid w:val="0004493C"/>
    <w:pPr>
      <w:spacing w:after="0" w:line="240" w:lineRule="auto"/>
    </w:pPr>
    <w:rPr>
      <w:noProof/>
    </w:rPr>
  </w:style>
  <w:style w:type="character" w:styleId="CommentReference">
    <w:name w:val="annotation reference"/>
    <w:basedOn w:val="DefaultParagraphFont"/>
    <w:uiPriority w:val="99"/>
    <w:semiHidden/>
    <w:unhideWhenUsed/>
    <w:rsid w:val="00CB652C"/>
    <w:rPr>
      <w:sz w:val="16"/>
      <w:szCs w:val="16"/>
    </w:rPr>
  </w:style>
  <w:style w:type="paragraph" w:styleId="CommentText">
    <w:name w:val="annotation text"/>
    <w:basedOn w:val="Normal"/>
    <w:link w:val="CommentTextChar"/>
    <w:uiPriority w:val="99"/>
    <w:semiHidden/>
    <w:unhideWhenUsed/>
    <w:rsid w:val="00CB652C"/>
    <w:pPr>
      <w:spacing w:line="240" w:lineRule="auto"/>
    </w:pPr>
    <w:rPr>
      <w:sz w:val="20"/>
      <w:szCs w:val="20"/>
    </w:rPr>
  </w:style>
  <w:style w:type="character" w:customStyle="1" w:styleId="CommentTextChar">
    <w:name w:val="Comment Text Char"/>
    <w:basedOn w:val="DefaultParagraphFont"/>
    <w:link w:val="CommentText"/>
    <w:uiPriority w:val="99"/>
    <w:semiHidden/>
    <w:rsid w:val="00CB652C"/>
    <w:rPr>
      <w:noProof/>
      <w:sz w:val="20"/>
      <w:szCs w:val="20"/>
    </w:rPr>
  </w:style>
  <w:style w:type="paragraph" w:styleId="CommentSubject">
    <w:name w:val="annotation subject"/>
    <w:basedOn w:val="CommentText"/>
    <w:next w:val="CommentText"/>
    <w:link w:val="CommentSubjectChar"/>
    <w:uiPriority w:val="99"/>
    <w:semiHidden/>
    <w:unhideWhenUsed/>
    <w:rsid w:val="00CB652C"/>
    <w:rPr>
      <w:b/>
      <w:bCs/>
    </w:rPr>
  </w:style>
  <w:style w:type="character" w:customStyle="1" w:styleId="CommentSubjectChar">
    <w:name w:val="Comment Subject Char"/>
    <w:basedOn w:val="CommentTextChar"/>
    <w:link w:val="CommentSubject"/>
    <w:uiPriority w:val="99"/>
    <w:semiHidden/>
    <w:rsid w:val="00CB652C"/>
    <w:rPr>
      <w:b/>
      <w:bCs/>
      <w:noProof/>
      <w:sz w:val="20"/>
      <w:szCs w:val="20"/>
    </w:rPr>
  </w:style>
  <w:style w:type="paragraph" w:styleId="Header">
    <w:name w:val="header"/>
    <w:basedOn w:val="Normal"/>
    <w:link w:val="HeaderChar"/>
    <w:uiPriority w:val="99"/>
    <w:unhideWhenUsed/>
    <w:rsid w:val="00BD2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66"/>
    <w:rPr>
      <w:noProof/>
    </w:rPr>
  </w:style>
  <w:style w:type="paragraph" w:styleId="Footer">
    <w:name w:val="footer"/>
    <w:basedOn w:val="Normal"/>
    <w:link w:val="FooterChar"/>
    <w:uiPriority w:val="99"/>
    <w:unhideWhenUsed/>
    <w:rsid w:val="00BD2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66"/>
    <w:rPr>
      <w:noProof/>
    </w:rPr>
  </w:style>
  <w:style w:type="paragraph" w:customStyle="1" w:styleId="INDR-Texte">
    <w:name w:val="INDR - Texte"/>
    <w:basedOn w:val="Normal"/>
    <w:rsid w:val="00BD2C66"/>
    <w:pPr>
      <w:widowControl w:val="0"/>
      <w:autoSpaceDE w:val="0"/>
      <w:autoSpaceDN w:val="0"/>
      <w:adjustRightInd w:val="0"/>
      <w:spacing w:after="0" w:line="288" w:lineRule="auto"/>
      <w:textAlignment w:val="center"/>
    </w:pPr>
    <w:rPr>
      <w:rFonts w:ascii="Calibri" w:eastAsiaTheme="minorEastAsia" w:hAnsi="Calibri" w:cs="Flama-Book"/>
      <w:noProof w:val="0"/>
      <w:color w:val="000000"/>
      <w:sz w:val="20"/>
      <w:szCs w:val="20"/>
      <w:lang w:val="fr-FR" w:eastAsia="fr-FR"/>
    </w:rPr>
  </w:style>
  <w:style w:type="character" w:styleId="Hyperlink">
    <w:name w:val="Hyperlink"/>
    <w:basedOn w:val="DefaultParagraphFont"/>
    <w:uiPriority w:val="99"/>
    <w:unhideWhenUsed/>
    <w:rsid w:val="00D267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sante.public.lu/fr/espace-citoyen/dossiers-thematiques/m/medicaments-humains/achat-medicament-internet.html"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D6829-B160-433A-A666-4BD33844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Serge;George</dc:creator>
  <cp:keywords/>
  <dc:description/>
  <cp:lastModifiedBy>Virginie Delle Lechevalier</cp:lastModifiedBy>
  <cp:revision>4</cp:revision>
  <dcterms:created xsi:type="dcterms:W3CDTF">2022-11-16T09:44:00Z</dcterms:created>
  <dcterms:modified xsi:type="dcterms:W3CDTF">2022-11-23T10:24:00Z</dcterms:modified>
</cp:coreProperties>
</file>