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F39DD" w14:textId="3487CD3C" w:rsidR="00937731" w:rsidRPr="007B464E" w:rsidRDefault="00262BAD" w:rsidP="00262BAD">
      <w:pPr>
        <w:spacing w:before="240"/>
        <w:jc w:val="right"/>
        <w:rPr>
          <w:rFonts w:ascii="Arial" w:hAnsi="Arial" w:cs="Arial"/>
          <w:b/>
          <w:sz w:val="22"/>
          <w:szCs w:val="22"/>
          <w:lang w:val="de-DE"/>
        </w:rPr>
      </w:pPr>
      <w:r w:rsidRPr="007B464E">
        <w:rPr>
          <w:rFonts w:ascii="Arial" w:hAnsi="Arial" w:cs="Arial"/>
          <w:b/>
          <w:sz w:val="22"/>
          <w:szCs w:val="22"/>
          <w:lang w:val="de-DE"/>
        </w:rPr>
        <w:t xml:space="preserve">Luxembourg, </w:t>
      </w:r>
      <w:r w:rsidR="0049426B" w:rsidRPr="007B464E">
        <w:rPr>
          <w:rFonts w:ascii="Arial" w:hAnsi="Arial" w:cs="Arial"/>
          <w:b/>
          <w:sz w:val="22"/>
          <w:szCs w:val="22"/>
          <w:lang w:val="de-DE"/>
        </w:rPr>
        <w:t xml:space="preserve">10. </w:t>
      </w:r>
      <w:r w:rsidR="00D2434E" w:rsidRPr="007B464E">
        <w:rPr>
          <w:rFonts w:ascii="Arial" w:hAnsi="Arial" w:cs="Arial"/>
          <w:b/>
          <w:sz w:val="22"/>
          <w:szCs w:val="22"/>
          <w:lang w:val="de-DE"/>
        </w:rPr>
        <w:t>August</w:t>
      </w:r>
      <w:r w:rsidRPr="007B464E">
        <w:rPr>
          <w:rFonts w:ascii="Arial" w:hAnsi="Arial" w:cs="Arial"/>
          <w:b/>
          <w:sz w:val="22"/>
          <w:szCs w:val="22"/>
          <w:lang w:val="de-DE"/>
        </w:rPr>
        <w:t xml:space="preserve"> 2020</w:t>
      </w:r>
    </w:p>
    <w:p w14:paraId="33472FC6" w14:textId="404C6713" w:rsidR="00262BAD" w:rsidRPr="007B464E" w:rsidRDefault="00262BAD" w:rsidP="00CB18B5">
      <w:pPr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14:paraId="590D5E7C" w14:textId="77777777" w:rsidR="0049426B" w:rsidRPr="007B464E" w:rsidRDefault="0049426B" w:rsidP="0049426B">
      <w:pPr>
        <w:rPr>
          <w:rFonts w:ascii="Arial" w:hAnsi="Arial" w:cs="Arial"/>
          <w:bCs/>
          <w:lang w:val="de-DE"/>
        </w:rPr>
      </w:pPr>
      <w:bookmarkStart w:id="0" w:name="_Hlk46479105"/>
    </w:p>
    <w:p w14:paraId="53DA24F7" w14:textId="3805DC20" w:rsidR="0049426B" w:rsidRPr="007B464E" w:rsidRDefault="0049426B" w:rsidP="0049426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7B464E">
        <w:rPr>
          <w:rFonts w:ascii="Arial" w:hAnsi="Arial" w:cs="Arial"/>
          <w:b/>
          <w:bCs/>
          <w:sz w:val="22"/>
          <w:szCs w:val="22"/>
          <w:lang w:val="de-DE"/>
        </w:rPr>
        <w:t xml:space="preserve">BIL </w:t>
      </w:r>
      <w:r w:rsidR="00F651D9">
        <w:rPr>
          <w:rFonts w:ascii="Arial" w:hAnsi="Arial" w:cs="Arial"/>
          <w:b/>
          <w:bCs/>
          <w:sz w:val="22"/>
          <w:szCs w:val="22"/>
          <w:lang w:val="de-DE"/>
        </w:rPr>
        <w:t xml:space="preserve">verstärkt ihre </w:t>
      </w:r>
      <w:r w:rsidRPr="007B464E">
        <w:rPr>
          <w:rFonts w:ascii="Arial" w:hAnsi="Arial" w:cs="Arial"/>
          <w:b/>
          <w:bCs/>
          <w:sz w:val="22"/>
          <w:szCs w:val="22"/>
          <w:lang w:val="de-DE"/>
        </w:rPr>
        <w:t>Compliance</w:t>
      </w:r>
      <w:r w:rsidR="007B464E" w:rsidRPr="007B464E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</w:p>
    <w:p w14:paraId="7C5E14AF" w14:textId="77777777" w:rsidR="0049426B" w:rsidRPr="007B464E" w:rsidRDefault="0049426B" w:rsidP="0049426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72C90C9E" w14:textId="7541AAF2" w:rsidR="0049426B" w:rsidRPr="0049426B" w:rsidRDefault="0049426B" w:rsidP="0049426B">
      <w:pPr>
        <w:numPr>
          <w:ilvl w:val="0"/>
          <w:numId w:val="12"/>
        </w:numPr>
        <w:spacing w:line="276" w:lineRule="auto"/>
        <w:rPr>
          <w:rFonts w:ascii="Arial" w:hAnsi="Arial" w:cs="Arial"/>
          <w:b/>
          <w:sz w:val="22"/>
          <w:szCs w:val="22"/>
          <w:lang w:val="de-DE"/>
        </w:rPr>
      </w:pPr>
      <w:r w:rsidRPr="0049426B">
        <w:rPr>
          <w:rFonts w:ascii="Arial" w:hAnsi="Arial" w:cs="Arial"/>
          <w:b/>
          <w:sz w:val="22"/>
          <w:szCs w:val="22"/>
          <w:lang w:val="de-DE"/>
        </w:rPr>
        <w:t>Die CSSF verhängt gegen die BIL eine Verwaltungss</w:t>
      </w:r>
      <w:r w:rsidR="00F651D9">
        <w:rPr>
          <w:rFonts w:ascii="Arial" w:hAnsi="Arial" w:cs="Arial"/>
          <w:b/>
          <w:sz w:val="22"/>
          <w:szCs w:val="22"/>
          <w:lang w:val="de-DE"/>
        </w:rPr>
        <w:t>anktion</w:t>
      </w:r>
      <w:r w:rsidRPr="0049426B">
        <w:rPr>
          <w:rFonts w:ascii="Arial" w:hAnsi="Arial" w:cs="Arial"/>
          <w:b/>
          <w:sz w:val="22"/>
          <w:szCs w:val="22"/>
          <w:lang w:val="de-DE"/>
        </w:rPr>
        <w:t xml:space="preserve"> aufgrund von operativen Schwachstellen bei der Bekämpfung von Geldwäsche und Terrorismusfinanzierung.</w:t>
      </w:r>
    </w:p>
    <w:p w14:paraId="25F5F107" w14:textId="24100815" w:rsidR="0049426B" w:rsidRPr="0049426B" w:rsidRDefault="0049426B" w:rsidP="0049426B">
      <w:pPr>
        <w:numPr>
          <w:ilvl w:val="0"/>
          <w:numId w:val="12"/>
        </w:numPr>
        <w:spacing w:line="276" w:lineRule="auto"/>
        <w:rPr>
          <w:rFonts w:ascii="Arial" w:hAnsi="Arial" w:cs="Arial"/>
          <w:b/>
          <w:sz w:val="22"/>
          <w:szCs w:val="22"/>
          <w:lang w:val="de-DE"/>
        </w:rPr>
      </w:pPr>
      <w:r w:rsidRPr="0049426B">
        <w:rPr>
          <w:rFonts w:ascii="Arial" w:hAnsi="Arial" w:cs="Arial"/>
          <w:b/>
          <w:sz w:val="22"/>
          <w:szCs w:val="22"/>
          <w:lang w:val="de-DE"/>
        </w:rPr>
        <w:t>Es wurden keine Geldwäsche- oder Terrorismusfinanzierungsaktivitäten festgestellt.</w:t>
      </w:r>
    </w:p>
    <w:p w14:paraId="672C551C" w14:textId="6C2DB72F" w:rsidR="0049426B" w:rsidRDefault="0049426B" w:rsidP="0049426B">
      <w:pPr>
        <w:numPr>
          <w:ilvl w:val="0"/>
          <w:numId w:val="12"/>
        </w:numPr>
        <w:spacing w:line="276" w:lineRule="auto"/>
        <w:rPr>
          <w:rFonts w:ascii="Arial" w:hAnsi="Arial" w:cs="Arial"/>
          <w:b/>
          <w:sz w:val="22"/>
          <w:szCs w:val="22"/>
          <w:lang w:val="de-DE"/>
        </w:rPr>
      </w:pPr>
      <w:r w:rsidRPr="0049426B">
        <w:rPr>
          <w:rFonts w:ascii="Arial" w:hAnsi="Arial" w:cs="Arial"/>
          <w:b/>
          <w:sz w:val="22"/>
          <w:szCs w:val="22"/>
          <w:lang w:val="de-DE"/>
        </w:rPr>
        <w:t xml:space="preserve">Die Bank hat die </w:t>
      </w:r>
      <w:r w:rsidR="00466171">
        <w:rPr>
          <w:rFonts w:ascii="Arial" w:hAnsi="Arial" w:cs="Arial"/>
          <w:b/>
          <w:sz w:val="22"/>
          <w:szCs w:val="22"/>
          <w:lang w:val="de-DE"/>
        </w:rPr>
        <w:t xml:space="preserve">identifizierten </w:t>
      </w:r>
      <w:r w:rsidRPr="0049426B">
        <w:rPr>
          <w:rFonts w:ascii="Arial" w:hAnsi="Arial" w:cs="Arial"/>
          <w:b/>
          <w:sz w:val="22"/>
          <w:szCs w:val="22"/>
          <w:lang w:val="de-DE"/>
        </w:rPr>
        <w:t>Schwachstellen unverzüglich bearbeitet und die Compliance weiter gestärkt.</w:t>
      </w:r>
    </w:p>
    <w:p w14:paraId="61C728F4" w14:textId="77777777" w:rsidR="0049426B" w:rsidRPr="0049426B" w:rsidRDefault="0049426B" w:rsidP="007B464E">
      <w:pPr>
        <w:spacing w:line="276" w:lineRule="auto"/>
        <w:ind w:left="720"/>
        <w:rPr>
          <w:rFonts w:ascii="Arial" w:hAnsi="Arial" w:cs="Arial"/>
          <w:b/>
          <w:sz w:val="22"/>
          <w:szCs w:val="22"/>
          <w:lang w:val="de-DE"/>
        </w:rPr>
      </w:pPr>
    </w:p>
    <w:p w14:paraId="2AC9FC86" w14:textId="508DFFFE" w:rsidR="0049426B" w:rsidRDefault="0049426B" w:rsidP="0049426B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7B464E">
        <w:rPr>
          <w:rFonts w:ascii="Arial" w:hAnsi="Arial" w:cs="Arial"/>
          <w:bCs/>
          <w:sz w:val="22"/>
          <w:szCs w:val="22"/>
          <w:lang w:val="de-DE"/>
        </w:rPr>
        <w:t xml:space="preserve">Als verantwortungsbewusstes Mitglied des luxemburgischen Finanzplatzes aktualisiert die Banque Internationale à Luxembourg permanent ihre Richtlinien und Prozesse, um </w:t>
      </w:r>
      <w:r w:rsidR="007B464E">
        <w:rPr>
          <w:rFonts w:ascii="Arial" w:hAnsi="Arial" w:cs="Arial"/>
          <w:bCs/>
          <w:sz w:val="22"/>
          <w:szCs w:val="22"/>
          <w:lang w:val="de-DE"/>
        </w:rPr>
        <w:t xml:space="preserve">die </w:t>
      </w:r>
      <w:r w:rsidRPr="007B464E">
        <w:rPr>
          <w:rFonts w:ascii="Arial" w:hAnsi="Arial" w:cs="Arial"/>
          <w:bCs/>
          <w:sz w:val="22"/>
          <w:szCs w:val="22"/>
          <w:lang w:val="de-DE"/>
        </w:rPr>
        <w:t xml:space="preserve">stetig </w:t>
      </w:r>
      <w:r w:rsidR="007B464E">
        <w:rPr>
          <w:rFonts w:ascii="Arial" w:hAnsi="Arial" w:cs="Arial"/>
          <w:bCs/>
          <w:sz w:val="22"/>
          <w:szCs w:val="22"/>
          <w:lang w:val="de-DE"/>
        </w:rPr>
        <w:t>aktualisierten</w:t>
      </w:r>
      <w:r w:rsidRPr="007B464E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="007B464E">
        <w:rPr>
          <w:rFonts w:ascii="Arial" w:hAnsi="Arial" w:cs="Arial"/>
          <w:bCs/>
          <w:sz w:val="22"/>
          <w:szCs w:val="22"/>
          <w:lang w:val="de-DE"/>
        </w:rPr>
        <w:t xml:space="preserve">Richtlinien </w:t>
      </w:r>
      <w:r w:rsidRPr="007B464E">
        <w:rPr>
          <w:rFonts w:ascii="Arial" w:hAnsi="Arial" w:cs="Arial"/>
          <w:bCs/>
          <w:sz w:val="22"/>
          <w:szCs w:val="22"/>
          <w:lang w:val="de-DE"/>
        </w:rPr>
        <w:t xml:space="preserve">zur Bekämpfung von Geldwäsche und Terrorismusfinanzierung </w:t>
      </w:r>
      <w:r w:rsidR="007B464E">
        <w:rPr>
          <w:rFonts w:ascii="Arial" w:hAnsi="Arial" w:cs="Arial"/>
          <w:bCs/>
          <w:sz w:val="22"/>
          <w:szCs w:val="22"/>
          <w:lang w:val="de-DE"/>
        </w:rPr>
        <w:t>umzusetzen</w:t>
      </w:r>
      <w:r w:rsidRPr="007B464E">
        <w:rPr>
          <w:rFonts w:ascii="Arial" w:hAnsi="Arial" w:cs="Arial"/>
          <w:bCs/>
          <w:sz w:val="22"/>
          <w:szCs w:val="22"/>
          <w:lang w:val="de-DE"/>
        </w:rPr>
        <w:t>. Die Bank hat das klare Ziel, den höchst möglichen Standard</w:t>
      </w:r>
      <w:r w:rsidR="007B464E">
        <w:rPr>
          <w:rFonts w:ascii="Arial" w:hAnsi="Arial" w:cs="Arial"/>
          <w:bCs/>
          <w:sz w:val="22"/>
          <w:szCs w:val="22"/>
          <w:lang w:val="de-DE"/>
        </w:rPr>
        <w:t xml:space="preserve"> in der Bekämpfung von Geldwäsche und Terrorismusfinanzierung einzuhalten, in voller Unterstützung der CSSF als zuständige Aufsichtsbehörde</w:t>
      </w:r>
      <w:r w:rsidRPr="007B464E">
        <w:rPr>
          <w:rFonts w:ascii="Arial" w:hAnsi="Arial" w:cs="Arial"/>
          <w:bCs/>
          <w:sz w:val="22"/>
          <w:szCs w:val="22"/>
          <w:lang w:val="de-DE"/>
        </w:rPr>
        <w:t>.</w:t>
      </w:r>
    </w:p>
    <w:p w14:paraId="478A249C" w14:textId="77777777" w:rsidR="007B464E" w:rsidRPr="007B464E" w:rsidRDefault="007B464E" w:rsidP="0049426B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</w:p>
    <w:p w14:paraId="3F3446C0" w14:textId="0F08F87B" w:rsidR="00F651D9" w:rsidRDefault="0049426B" w:rsidP="0049426B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7B464E">
        <w:rPr>
          <w:rFonts w:ascii="Arial" w:hAnsi="Arial" w:cs="Arial"/>
          <w:bCs/>
          <w:sz w:val="22"/>
          <w:szCs w:val="22"/>
          <w:lang w:val="de-DE"/>
        </w:rPr>
        <w:t>Bei Inspektionen in der Bank in den Jahren 2017 und 2018</w:t>
      </w:r>
      <w:r w:rsidR="007B464E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="007B464E" w:rsidRPr="007B464E">
        <w:rPr>
          <w:rFonts w:ascii="Arial" w:hAnsi="Arial" w:cs="Arial"/>
          <w:bCs/>
          <w:sz w:val="22"/>
          <w:szCs w:val="22"/>
          <w:lang w:val="de-DE"/>
        </w:rPr>
        <w:t>stellte die CSSF Schwachstellen in den damaligen Prozessen der Bank fest</w:t>
      </w:r>
      <w:r w:rsidR="00F651D9">
        <w:rPr>
          <w:rFonts w:ascii="Arial" w:hAnsi="Arial" w:cs="Arial"/>
          <w:bCs/>
          <w:sz w:val="22"/>
          <w:szCs w:val="22"/>
          <w:lang w:val="de-DE"/>
        </w:rPr>
        <w:t>.</w:t>
      </w:r>
      <w:r w:rsidRPr="007B464E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="00F651D9">
        <w:rPr>
          <w:rFonts w:ascii="Arial" w:hAnsi="Arial" w:cs="Arial"/>
          <w:bCs/>
          <w:sz w:val="22"/>
          <w:szCs w:val="22"/>
          <w:lang w:val="de-DE"/>
        </w:rPr>
        <w:t xml:space="preserve">Die Inspektionen bezogen </w:t>
      </w:r>
      <w:r w:rsidRPr="007B464E">
        <w:rPr>
          <w:rFonts w:ascii="Arial" w:hAnsi="Arial" w:cs="Arial"/>
          <w:bCs/>
          <w:sz w:val="22"/>
          <w:szCs w:val="22"/>
          <w:lang w:val="de-DE"/>
        </w:rPr>
        <w:t xml:space="preserve">sich auf eine Stichprobe von Kunden aus der Gemeinschaft Unabhängiger Staaten </w:t>
      </w:r>
      <w:r w:rsidR="00F651D9">
        <w:rPr>
          <w:rFonts w:ascii="Arial" w:hAnsi="Arial" w:cs="Arial"/>
          <w:bCs/>
          <w:sz w:val="22"/>
          <w:szCs w:val="22"/>
          <w:lang w:val="de-DE"/>
        </w:rPr>
        <w:t>(GUS)</w:t>
      </w:r>
      <w:r w:rsidRPr="007B464E">
        <w:rPr>
          <w:rFonts w:ascii="Arial" w:hAnsi="Arial" w:cs="Arial"/>
          <w:bCs/>
          <w:sz w:val="22"/>
          <w:szCs w:val="22"/>
          <w:lang w:val="de-DE"/>
        </w:rPr>
        <w:t>,</w:t>
      </w:r>
      <w:r w:rsidR="00F651D9">
        <w:rPr>
          <w:rFonts w:ascii="Arial" w:hAnsi="Arial" w:cs="Arial"/>
          <w:bCs/>
          <w:sz w:val="22"/>
          <w:szCs w:val="22"/>
          <w:lang w:val="de-DE"/>
        </w:rPr>
        <w:t xml:space="preserve"> eine Kundengruppe mit einem inhärenten Risiko, das als hoch bezeichnet werden kann.</w:t>
      </w:r>
      <w:r w:rsidRPr="007B464E">
        <w:rPr>
          <w:rFonts w:ascii="Arial" w:hAnsi="Arial" w:cs="Arial"/>
          <w:bCs/>
          <w:sz w:val="22"/>
          <w:szCs w:val="22"/>
          <w:lang w:val="de-DE"/>
        </w:rPr>
        <w:t xml:space="preserve"> Die CSSF hat daher eine Verwaltungss</w:t>
      </w:r>
      <w:r w:rsidR="00F651D9">
        <w:rPr>
          <w:rFonts w:ascii="Arial" w:hAnsi="Arial" w:cs="Arial"/>
          <w:bCs/>
          <w:sz w:val="22"/>
          <w:szCs w:val="22"/>
          <w:lang w:val="de-DE"/>
        </w:rPr>
        <w:t>anktion</w:t>
      </w:r>
      <w:r w:rsidRPr="007B464E">
        <w:rPr>
          <w:rFonts w:ascii="Arial" w:hAnsi="Arial" w:cs="Arial"/>
          <w:bCs/>
          <w:sz w:val="22"/>
          <w:szCs w:val="22"/>
          <w:lang w:val="de-DE"/>
        </w:rPr>
        <w:t xml:space="preserve"> in Höhe von 4,6 Millionen Euro verhängt</w:t>
      </w:r>
      <w:r w:rsidR="00F651D9">
        <w:rPr>
          <w:rFonts w:ascii="Arial" w:hAnsi="Arial" w:cs="Arial"/>
          <w:bCs/>
          <w:sz w:val="22"/>
          <w:szCs w:val="22"/>
          <w:lang w:val="de-DE"/>
        </w:rPr>
        <w:t xml:space="preserve">, die proportional </w:t>
      </w:r>
      <w:r w:rsidRPr="007B464E">
        <w:rPr>
          <w:rFonts w:ascii="Arial" w:hAnsi="Arial" w:cs="Arial"/>
          <w:bCs/>
          <w:sz w:val="22"/>
          <w:szCs w:val="22"/>
          <w:lang w:val="de-DE"/>
        </w:rPr>
        <w:t>zu</w:t>
      </w:r>
      <w:r w:rsidR="00BF2FBF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="005928A6">
        <w:rPr>
          <w:rFonts w:ascii="Arial" w:hAnsi="Arial" w:cs="Arial"/>
          <w:bCs/>
          <w:sz w:val="22"/>
          <w:szCs w:val="22"/>
          <w:lang w:val="de-DE"/>
        </w:rPr>
        <w:t>d</w:t>
      </w:r>
      <w:bookmarkStart w:id="1" w:name="_GoBack"/>
      <w:bookmarkEnd w:id="1"/>
      <w:r w:rsidR="005928A6">
        <w:rPr>
          <w:rFonts w:ascii="Arial" w:hAnsi="Arial" w:cs="Arial"/>
          <w:bCs/>
          <w:sz w:val="22"/>
          <w:szCs w:val="22"/>
          <w:lang w:val="de-DE"/>
        </w:rPr>
        <w:t>en</w:t>
      </w:r>
      <w:r w:rsidRPr="007B464E">
        <w:rPr>
          <w:rFonts w:ascii="Arial" w:hAnsi="Arial" w:cs="Arial"/>
          <w:bCs/>
          <w:sz w:val="22"/>
          <w:szCs w:val="22"/>
          <w:lang w:val="de-DE"/>
        </w:rPr>
        <w:t xml:space="preserve">  </w:t>
      </w:r>
      <w:r w:rsidR="004B3F85">
        <w:rPr>
          <w:rFonts w:ascii="Arial" w:hAnsi="Arial" w:cs="Arial"/>
          <w:bCs/>
          <w:sz w:val="22"/>
          <w:szCs w:val="22"/>
          <w:lang w:val="de-DE"/>
        </w:rPr>
        <w:t xml:space="preserve">Gesamteinnahmen </w:t>
      </w:r>
      <w:r w:rsidRPr="007B464E">
        <w:rPr>
          <w:rFonts w:ascii="Arial" w:hAnsi="Arial" w:cs="Arial"/>
          <w:bCs/>
          <w:sz w:val="22"/>
          <w:szCs w:val="22"/>
          <w:lang w:val="de-DE"/>
        </w:rPr>
        <w:t>der Bank</w:t>
      </w:r>
      <w:r w:rsidR="00F651D9">
        <w:rPr>
          <w:rFonts w:ascii="Arial" w:hAnsi="Arial" w:cs="Arial"/>
          <w:bCs/>
          <w:sz w:val="22"/>
          <w:szCs w:val="22"/>
          <w:lang w:val="de-DE"/>
        </w:rPr>
        <w:t xml:space="preserve"> ist</w:t>
      </w:r>
      <w:r w:rsidRPr="007B464E">
        <w:rPr>
          <w:rFonts w:ascii="Arial" w:hAnsi="Arial" w:cs="Arial"/>
          <w:bCs/>
          <w:sz w:val="22"/>
          <w:szCs w:val="22"/>
          <w:lang w:val="de-DE"/>
        </w:rPr>
        <w:t>. Die Verwaltungss</w:t>
      </w:r>
      <w:r w:rsidR="00F651D9">
        <w:rPr>
          <w:rFonts w:ascii="Arial" w:hAnsi="Arial" w:cs="Arial"/>
          <w:bCs/>
          <w:sz w:val="22"/>
          <w:szCs w:val="22"/>
          <w:lang w:val="de-DE"/>
        </w:rPr>
        <w:t>anktion</w:t>
      </w:r>
      <w:r w:rsidRPr="007B464E">
        <w:rPr>
          <w:rFonts w:ascii="Arial" w:hAnsi="Arial" w:cs="Arial"/>
          <w:bCs/>
          <w:sz w:val="22"/>
          <w:szCs w:val="22"/>
          <w:lang w:val="de-DE"/>
        </w:rPr>
        <w:t xml:space="preserve"> steht im Zusammenhang mit denjenigen Prozessen der Bank, die zum Zeitpunkt der Inspektionen in Kraft waren. </w:t>
      </w:r>
    </w:p>
    <w:p w14:paraId="1614285F" w14:textId="77777777" w:rsidR="00F651D9" w:rsidRDefault="00F651D9" w:rsidP="0049426B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</w:p>
    <w:p w14:paraId="11877A9A" w14:textId="538AFCE1" w:rsidR="0049426B" w:rsidRPr="007B464E" w:rsidRDefault="0049426B" w:rsidP="0049426B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7B464E">
        <w:rPr>
          <w:rFonts w:ascii="Arial" w:hAnsi="Arial" w:cs="Arial"/>
          <w:bCs/>
          <w:sz w:val="22"/>
          <w:szCs w:val="22"/>
          <w:lang w:val="de-DE"/>
        </w:rPr>
        <w:t xml:space="preserve">Es wurden keine Geldwäsche- oder Terrorismusfinanzierungsaktivitäten festgestellt. </w:t>
      </w:r>
    </w:p>
    <w:p w14:paraId="027D9A56" w14:textId="77777777" w:rsidR="00F651D9" w:rsidRDefault="00F651D9" w:rsidP="0049426B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</w:p>
    <w:p w14:paraId="15770EA2" w14:textId="23740245" w:rsidR="0049426B" w:rsidRPr="007B464E" w:rsidRDefault="0049426B" w:rsidP="0049426B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  <w:r w:rsidRPr="007B464E">
        <w:rPr>
          <w:rFonts w:ascii="Arial" w:hAnsi="Arial" w:cs="Arial"/>
          <w:bCs/>
          <w:sz w:val="22"/>
          <w:szCs w:val="22"/>
          <w:lang w:val="de-DE"/>
        </w:rPr>
        <w:t xml:space="preserve">Seither wurden durch den </w:t>
      </w:r>
      <w:r w:rsidR="004B3F85">
        <w:rPr>
          <w:rFonts w:ascii="Arial" w:hAnsi="Arial" w:cs="Arial"/>
          <w:bCs/>
          <w:sz w:val="22"/>
          <w:szCs w:val="22"/>
          <w:lang w:val="de-DE"/>
        </w:rPr>
        <w:t xml:space="preserve">neuen </w:t>
      </w:r>
      <w:r w:rsidRPr="007B464E">
        <w:rPr>
          <w:rFonts w:ascii="Arial" w:hAnsi="Arial" w:cs="Arial"/>
          <w:bCs/>
          <w:sz w:val="22"/>
          <w:szCs w:val="22"/>
          <w:lang w:val="de-DE"/>
        </w:rPr>
        <w:t>CEO und unter der neuen Aktionärsstruktur Maßnahmen ergriffen, um die festgestellten Schwächen abzustellen. Die Bank hat ihre Compliance-Richtlinien angepasst, zusätzliche Compliance-Spezialisten eingestellt und die Schulung ihrer Mitarbeiter im Bereich Geldwäsche und Terrorismusfinanzierung ausgebaut. Wichtige Compliance-Instrumente, u</w:t>
      </w:r>
      <w:r w:rsidR="00F651D9">
        <w:rPr>
          <w:rFonts w:ascii="Arial" w:hAnsi="Arial" w:cs="Arial"/>
          <w:bCs/>
          <w:sz w:val="22"/>
          <w:szCs w:val="22"/>
          <w:lang w:val="de-DE"/>
        </w:rPr>
        <w:t>.</w:t>
      </w:r>
      <w:r w:rsidRPr="007B464E">
        <w:rPr>
          <w:rFonts w:ascii="Arial" w:hAnsi="Arial" w:cs="Arial"/>
          <w:bCs/>
          <w:sz w:val="22"/>
          <w:szCs w:val="22"/>
          <w:lang w:val="de-DE"/>
        </w:rPr>
        <w:t>a</w:t>
      </w:r>
      <w:r w:rsidR="00F651D9">
        <w:rPr>
          <w:rFonts w:ascii="Arial" w:hAnsi="Arial" w:cs="Arial"/>
          <w:bCs/>
          <w:sz w:val="22"/>
          <w:szCs w:val="22"/>
          <w:lang w:val="de-DE"/>
        </w:rPr>
        <w:t xml:space="preserve">. </w:t>
      </w:r>
      <w:r w:rsidRPr="007B464E">
        <w:rPr>
          <w:rFonts w:ascii="Arial" w:hAnsi="Arial" w:cs="Arial"/>
          <w:bCs/>
          <w:sz w:val="22"/>
          <w:szCs w:val="22"/>
          <w:lang w:val="de-DE"/>
        </w:rPr>
        <w:t xml:space="preserve">eine AML-Scoring-Engine, wurden verbessert </w:t>
      </w:r>
      <w:r w:rsidR="00466171">
        <w:rPr>
          <w:rFonts w:ascii="Arial" w:hAnsi="Arial" w:cs="Arial"/>
          <w:bCs/>
          <w:sz w:val="22"/>
          <w:szCs w:val="22"/>
          <w:lang w:val="de-DE"/>
        </w:rPr>
        <w:t xml:space="preserve">und </w:t>
      </w:r>
      <w:proofErr w:type="spellStart"/>
      <w:r w:rsidR="00F651D9">
        <w:rPr>
          <w:rFonts w:ascii="Arial" w:hAnsi="Arial" w:cs="Arial"/>
          <w:bCs/>
          <w:sz w:val="22"/>
          <w:szCs w:val="22"/>
          <w:lang w:val="de-DE"/>
        </w:rPr>
        <w:t>bankweit</w:t>
      </w:r>
      <w:proofErr w:type="spellEnd"/>
      <w:r w:rsidRPr="007B464E">
        <w:rPr>
          <w:rFonts w:ascii="Arial" w:hAnsi="Arial" w:cs="Arial"/>
          <w:bCs/>
          <w:sz w:val="22"/>
          <w:szCs w:val="22"/>
          <w:lang w:val="de-DE"/>
        </w:rPr>
        <w:t xml:space="preserve"> eingeführt. </w:t>
      </w:r>
    </w:p>
    <w:p w14:paraId="626CC47C" w14:textId="77777777" w:rsidR="0049426B" w:rsidRPr="007B464E" w:rsidRDefault="0049426B" w:rsidP="0049426B">
      <w:pPr>
        <w:spacing w:line="276" w:lineRule="auto"/>
        <w:jc w:val="both"/>
        <w:rPr>
          <w:rFonts w:ascii="Arial" w:hAnsi="Arial" w:cs="Arial"/>
          <w:bCs/>
          <w:sz w:val="22"/>
          <w:szCs w:val="22"/>
          <w:lang w:val="de-DE"/>
        </w:rPr>
      </w:pPr>
    </w:p>
    <w:p w14:paraId="405E7752" w14:textId="59B7DBA2" w:rsidR="009228D3" w:rsidRPr="007B464E" w:rsidRDefault="0049426B" w:rsidP="0049426B">
      <w:pPr>
        <w:jc w:val="both"/>
        <w:rPr>
          <w:rFonts w:ascii="Arial" w:hAnsi="Arial" w:cs="Arial"/>
          <w:i/>
          <w:iCs/>
          <w:sz w:val="22"/>
          <w:szCs w:val="22"/>
          <w:lang w:val="de-DE"/>
        </w:rPr>
      </w:pPr>
      <w:bookmarkStart w:id="2" w:name="_Hlk47866503"/>
      <w:r w:rsidRPr="007B464E">
        <w:rPr>
          <w:rFonts w:ascii="Arial" w:hAnsi="Arial" w:cs="Arial"/>
          <w:bCs/>
          <w:sz w:val="22"/>
          <w:szCs w:val="22"/>
          <w:lang w:val="de-DE"/>
        </w:rPr>
        <w:t xml:space="preserve">Marcel Leyers, CEO </w:t>
      </w:r>
      <w:r w:rsidR="00F651D9">
        <w:rPr>
          <w:rFonts w:ascii="Arial" w:hAnsi="Arial" w:cs="Arial"/>
          <w:bCs/>
          <w:sz w:val="22"/>
          <w:szCs w:val="22"/>
          <w:lang w:val="de-DE"/>
        </w:rPr>
        <w:t xml:space="preserve">der </w:t>
      </w:r>
      <w:r w:rsidRPr="007B464E">
        <w:rPr>
          <w:rFonts w:ascii="Arial" w:hAnsi="Arial" w:cs="Arial"/>
          <w:bCs/>
          <w:sz w:val="22"/>
          <w:szCs w:val="22"/>
          <w:lang w:val="de-DE"/>
        </w:rPr>
        <w:t xml:space="preserve"> BIL: </w:t>
      </w:r>
      <w:r w:rsidRPr="00466171">
        <w:rPr>
          <w:rFonts w:ascii="Arial" w:hAnsi="Arial" w:cs="Arial"/>
          <w:bCs/>
          <w:i/>
          <w:iCs/>
          <w:sz w:val="22"/>
          <w:szCs w:val="22"/>
          <w:lang w:val="de-DE"/>
        </w:rPr>
        <w:t>"Seit meiner Ernennung zum CEO war es meine oberste Priorität, die Compliance der Bank zu stärken um sicherzustellen, dass stets die höchsten Standards angewandt werden. Die festgestellten Schwächen wurden durch</w:t>
      </w:r>
      <w:r w:rsidR="00850301">
        <w:rPr>
          <w:rFonts w:ascii="Arial" w:hAnsi="Arial" w:cs="Arial"/>
          <w:bCs/>
          <w:i/>
          <w:iCs/>
          <w:sz w:val="22"/>
          <w:szCs w:val="22"/>
          <w:lang w:val="de-DE"/>
        </w:rPr>
        <w:t xml:space="preserve"> entsprechende </w:t>
      </w:r>
      <w:r w:rsidR="004B3F85">
        <w:rPr>
          <w:rFonts w:ascii="Arial" w:hAnsi="Arial" w:cs="Arial"/>
          <w:bCs/>
          <w:i/>
          <w:iCs/>
          <w:sz w:val="22"/>
          <w:szCs w:val="22"/>
          <w:lang w:val="de-DE"/>
        </w:rPr>
        <w:t xml:space="preserve"> </w:t>
      </w:r>
      <w:r w:rsidRPr="00466171">
        <w:rPr>
          <w:rFonts w:ascii="Arial" w:hAnsi="Arial" w:cs="Arial"/>
          <w:bCs/>
          <w:i/>
          <w:iCs/>
          <w:sz w:val="22"/>
          <w:szCs w:val="22"/>
          <w:lang w:val="de-DE"/>
        </w:rPr>
        <w:t>Korrekturmaßnahmen behoben."</w:t>
      </w:r>
    </w:p>
    <w:bookmarkEnd w:id="0"/>
    <w:bookmarkEnd w:id="2"/>
    <w:p w14:paraId="54CBAE3E" w14:textId="24E8624F" w:rsidR="00592180" w:rsidRPr="007B464E" w:rsidRDefault="00592180" w:rsidP="003A1B53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val="de-DE" w:eastAsia="fr-CH"/>
        </w:rPr>
      </w:pPr>
    </w:p>
    <w:p w14:paraId="021025C1" w14:textId="4085014E" w:rsidR="00592180" w:rsidRPr="007B464E" w:rsidRDefault="00592180" w:rsidP="003A1B53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  <w:lang w:val="de-DE" w:eastAsia="fr-CH"/>
        </w:rPr>
      </w:pPr>
    </w:p>
    <w:p w14:paraId="34557AC0" w14:textId="4E52EBBE" w:rsidR="00466171" w:rsidRPr="00B410A4" w:rsidRDefault="00466171" w:rsidP="00487A1E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2A8573F6" w14:textId="77777777" w:rsidR="00466171" w:rsidRPr="00466171" w:rsidRDefault="00466171" w:rsidP="00466171">
      <w:p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466171">
        <w:rPr>
          <w:rFonts w:ascii="Arial" w:hAnsi="Arial" w:cs="Arial"/>
          <w:b/>
          <w:sz w:val="20"/>
          <w:szCs w:val="20"/>
          <w:lang w:val="de-DE"/>
        </w:rPr>
        <w:t>Über die Banque Internationale à Luxembourg (BIL):</w:t>
      </w:r>
    </w:p>
    <w:p w14:paraId="5CBE7BBB" w14:textId="77777777" w:rsidR="00466171" w:rsidRPr="008C3600" w:rsidRDefault="00466171" w:rsidP="00466171">
      <w:pPr>
        <w:jc w:val="both"/>
        <w:rPr>
          <w:rFonts w:ascii="Arial" w:hAnsi="Arial" w:cs="Arial"/>
          <w:sz w:val="20"/>
          <w:szCs w:val="20"/>
          <w:lang w:val="nl-NL"/>
        </w:rPr>
      </w:pPr>
      <w:r w:rsidRPr="008C3600">
        <w:rPr>
          <w:rFonts w:ascii="Arial" w:hAnsi="Arial" w:cs="Arial"/>
          <w:sz w:val="20"/>
          <w:szCs w:val="20"/>
          <w:lang w:val="nl-NL"/>
        </w:rPr>
        <w:t xml:space="preserve">Die 1856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gegründete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Banque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Internationale à Luxembourg (BIL)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ist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die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älteste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Universalbank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im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Großherzogtum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.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Sie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hat in den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wichtigsten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Entwicklungsphasen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der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luxemburgischen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Wirtschaft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schon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immer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eine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aktive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Rolle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gespielt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.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Heute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ist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sie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in den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Bereichen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Retail Banking, Private Banking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und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Corporate Banking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sowie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an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den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Finanzmärkten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tätig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.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Mit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mehr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als 2.000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Mitarbeitern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ist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die BIL in den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Finanzzentren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von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Luxemburg, der Schweiz,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von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Dänemark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, Dubai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und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 xml:space="preserve"> China </w:t>
      </w:r>
      <w:proofErr w:type="spellStart"/>
      <w:r w:rsidRPr="008C3600">
        <w:rPr>
          <w:rFonts w:ascii="Arial" w:hAnsi="Arial" w:cs="Arial"/>
          <w:sz w:val="20"/>
          <w:szCs w:val="20"/>
          <w:lang w:val="nl-NL"/>
        </w:rPr>
        <w:t>vertreten</w:t>
      </w:r>
      <w:proofErr w:type="spellEnd"/>
      <w:r w:rsidRPr="008C3600">
        <w:rPr>
          <w:rFonts w:ascii="Arial" w:hAnsi="Arial" w:cs="Arial"/>
          <w:sz w:val="20"/>
          <w:szCs w:val="20"/>
          <w:lang w:val="nl-NL"/>
        </w:rPr>
        <w:t>.</w:t>
      </w:r>
    </w:p>
    <w:p w14:paraId="5E2AC99D" w14:textId="77777777" w:rsidR="00466171" w:rsidRPr="00466171" w:rsidRDefault="00466171" w:rsidP="00487A1E">
      <w:pPr>
        <w:jc w:val="both"/>
        <w:rPr>
          <w:rFonts w:ascii="Arial" w:hAnsi="Arial" w:cs="Arial"/>
          <w:sz w:val="20"/>
          <w:szCs w:val="20"/>
          <w:lang w:val="nl-NL"/>
        </w:rPr>
      </w:pPr>
    </w:p>
    <w:p w14:paraId="61B26107" w14:textId="1ECEAD76" w:rsidR="00592180" w:rsidRPr="00466171" w:rsidRDefault="00592180" w:rsidP="00847FE0">
      <w:pPr>
        <w:autoSpaceDE w:val="0"/>
        <w:autoSpaceDN w:val="0"/>
        <w:adjustRightInd w:val="0"/>
        <w:jc w:val="both"/>
        <w:rPr>
          <w:rFonts w:ascii="Arial" w:eastAsia="MS Mincho" w:hAnsi="Arial" w:cs="Arial"/>
          <w:snapToGrid w:val="0"/>
          <w:sz w:val="20"/>
          <w:szCs w:val="20"/>
          <w:lang w:val="de-DE"/>
        </w:rPr>
      </w:pPr>
    </w:p>
    <w:p w14:paraId="550F7E34" w14:textId="24D15011" w:rsidR="00487A1E" w:rsidRPr="00042E86" w:rsidRDefault="00466171" w:rsidP="0081071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de-DE"/>
        </w:rPr>
      </w:pPr>
      <w:r w:rsidRPr="00042E86">
        <w:rPr>
          <w:rFonts w:ascii="Arial" w:hAnsi="Arial" w:cs="Arial"/>
          <w:b/>
          <w:bCs/>
          <w:sz w:val="20"/>
          <w:szCs w:val="20"/>
          <w:lang w:val="de-DE"/>
        </w:rPr>
        <w:t>Für weitere Informationen</w:t>
      </w:r>
      <w:r w:rsidR="00487A1E" w:rsidRPr="00042E86">
        <w:rPr>
          <w:rFonts w:ascii="Arial" w:hAnsi="Arial" w:cs="Arial"/>
          <w:b/>
          <w:bCs/>
          <w:sz w:val="20"/>
          <w:szCs w:val="20"/>
          <w:lang w:val="de-DE"/>
        </w:rPr>
        <w:t xml:space="preserve">: </w:t>
      </w:r>
      <w:r w:rsidR="00810714" w:rsidRPr="00042E86">
        <w:rPr>
          <w:rFonts w:ascii="Arial" w:hAnsi="Arial" w:cs="Arial"/>
          <w:b/>
          <w:bCs/>
          <w:sz w:val="20"/>
          <w:szCs w:val="20"/>
          <w:lang w:val="de-DE"/>
        </w:rPr>
        <w:br/>
      </w:r>
    </w:p>
    <w:p w14:paraId="52F365CC" w14:textId="1927EC6A" w:rsidR="00810714" w:rsidRPr="00042E86" w:rsidRDefault="00810714" w:rsidP="00487A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de-DE"/>
        </w:rPr>
      </w:pPr>
      <w:r w:rsidRPr="00042E86">
        <w:rPr>
          <w:rFonts w:ascii="Arial" w:hAnsi="Arial" w:cs="Arial"/>
          <w:sz w:val="20"/>
          <w:szCs w:val="20"/>
          <w:lang w:val="de-DE"/>
        </w:rPr>
        <w:t>Joerg Moberg</w:t>
      </w:r>
    </w:p>
    <w:p w14:paraId="00A50033" w14:textId="77777777" w:rsidR="00810714" w:rsidRPr="00042E86" w:rsidRDefault="00810714" w:rsidP="0081071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de-DE"/>
        </w:rPr>
      </w:pPr>
      <w:r w:rsidRPr="00042E86">
        <w:rPr>
          <w:rFonts w:ascii="Arial" w:hAnsi="Arial" w:cs="Arial"/>
          <w:sz w:val="20"/>
          <w:szCs w:val="20"/>
          <w:lang w:val="de-DE"/>
        </w:rPr>
        <w:t xml:space="preserve">Banque Internationale à Luxembourg SA </w:t>
      </w:r>
    </w:p>
    <w:p w14:paraId="55056317" w14:textId="77777777" w:rsidR="00810714" w:rsidRPr="00042E86" w:rsidRDefault="00810714" w:rsidP="0081071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de-DE"/>
        </w:rPr>
      </w:pPr>
      <w:r w:rsidRPr="00042E86">
        <w:rPr>
          <w:rFonts w:ascii="Arial" w:hAnsi="Arial" w:cs="Arial"/>
          <w:sz w:val="20"/>
          <w:szCs w:val="20"/>
          <w:lang w:val="de-DE"/>
        </w:rPr>
        <w:t xml:space="preserve">69, route </w:t>
      </w:r>
      <w:proofErr w:type="spellStart"/>
      <w:r w:rsidRPr="00042E86">
        <w:rPr>
          <w:rFonts w:ascii="Arial" w:hAnsi="Arial" w:cs="Arial"/>
          <w:sz w:val="20"/>
          <w:szCs w:val="20"/>
          <w:lang w:val="de-DE"/>
        </w:rPr>
        <w:t>d'Esch</w:t>
      </w:r>
      <w:proofErr w:type="spellEnd"/>
      <w:r w:rsidRPr="00042E86">
        <w:rPr>
          <w:rFonts w:ascii="Arial" w:hAnsi="Arial" w:cs="Arial"/>
          <w:sz w:val="20"/>
          <w:szCs w:val="20"/>
          <w:lang w:val="de-DE"/>
        </w:rPr>
        <w:t xml:space="preserve"> • L-2953 Luxembourg </w:t>
      </w:r>
    </w:p>
    <w:p w14:paraId="4AB75CE5" w14:textId="210C6B8E" w:rsidR="00810714" w:rsidRPr="00042E86" w:rsidRDefault="00810714" w:rsidP="00810714">
      <w:pPr>
        <w:autoSpaceDE w:val="0"/>
        <w:autoSpaceDN w:val="0"/>
        <w:adjustRightInd w:val="0"/>
        <w:jc w:val="both"/>
        <w:rPr>
          <w:rFonts w:ascii="Arial" w:eastAsia="MS Mincho" w:hAnsi="Arial" w:cs="Arial"/>
          <w:snapToGrid w:val="0"/>
          <w:sz w:val="20"/>
          <w:szCs w:val="20"/>
          <w:lang w:val="de-DE"/>
        </w:rPr>
      </w:pPr>
      <w:r w:rsidRPr="00042E86">
        <w:rPr>
          <w:rFonts w:ascii="Arial" w:hAnsi="Arial" w:cs="Arial"/>
          <w:sz w:val="20"/>
          <w:szCs w:val="20"/>
          <w:lang w:val="de-DE"/>
        </w:rPr>
        <w:t xml:space="preserve">Tel: +352 4590 </w:t>
      </w:r>
      <w:r w:rsidR="00D125B1" w:rsidRPr="00042E86">
        <w:rPr>
          <w:rFonts w:ascii="Arial" w:hAnsi="Arial" w:cs="Arial"/>
          <w:sz w:val="20"/>
          <w:szCs w:val="20"/>
          <w:lang w:val="de-DE"/>
        </w:rPr>
        <w:t xml:space="preserve">2948 </w:t>
      </w:r>
      <w:r w:rsidRPr="00042E86">
        <w:rPr>
          <w:rFonts w:ascii="Arial" w:hAnsi="Arial" w:cs="Arial"/>
          <w:sz w:val="20"/>
          <w:szCs w:val="20"/>
          <w:lang w:val="de-DE"/>
        </w:rPr>
        <w:t xml:space="preserve">- Email: </w:t>
      </w:r>
      <w:r w:rsidR="00D125B1" w:rsidRPr="00042E86">
        <w:rPr>
          <w:rFonts w:ascii="Arial" w:hAnsi="Arial" w:cs="Arial"/>
          <w:sz w:val="20"/>
          <w:szCs w:val="20"/>
          <w:lang w:val="de-DE"/>
        </w:rPr>
        <w:t>jorg.moberg</w:t>
      </w:r>
      <w:r w:rsidRPr="00042E86">
        <w:rPr>
          <w:rFonts w:ascii="Arial" w:hAnsi="Arial" w:cs="Arial"/>
          <w:sz w:val="20"/>
          <w:szCs w:val="20"/>
          <w:lang w:val="de-DE"/>
        </w:rPr>
        <w:t>@bil.com</w:t>
      </w:r>
    </w:p>
    <w:p w14:paraId="1908CD83" w14:textId="77777777" w:rsidR="00810714" w:rsidRPr="00042E86" w:rsidRDefault="00810714" w:rsidP="00487A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de-DE"/>
        </w:rPr>
      </w:pPr>
    </w:p>
    <w:p w14:paraId="4E696E53" w14:textId="5E9519BA" w:rsidR="00487A1E" w:rsidRPr="00042E86" w:rsidRDefault="00487A1E" w:rsidP="00487A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de-DE"/>
        </w:rPr>
      </w:pPr>
      <w:r w:rsidRPr="00042E86">
        <w:rPr>
          <w:rFonts w:ascii="Arial" w:hAnsi="Arial" w:cs="Arial"/>
          <w:sz w:val="20"/>
          <w:szCs w:val="20"/>
          <w:lang w:val="de-DE"/>
        </w:rPr>
        <w:t xml:space="preserve">Vincent Pelletier </w:t>
      </w:r>
    </w:p>
    <w:p w14:paraId="3DBA5366" w14:textId="77777777" w:rsidR="00487A1E" w:rsidRPr="00A839B6" w:rsidRDefault="00487A1E" w:rsidP="00487A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839B6">
        <w:rPr>
          <w:rFonts w:ascii="Arial" w:hAnsi="Arial" w:cs="Arial"/>
          <w:sz w:val="20"/>
          <w:szCs w:val="20"/>
        </w:rPr>
        <w:t xml:space="preserve">Banque Internationale à Luxembourg SA </w:t>
      </w:r>
    </w:p>
    <w:p w14:paraId="301E4374" w14:textId="77777777" w:rsidR="00487A1E" w:rsidRPr="00A839B6" w:rsidRDefault="00487A1E" w:rsidP="00487A1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839B6">
        <w:rPr>
          <w:rFonts w:ascii="Arial" w:hAnsi="Arial" w:cs="Arial"/>
          <w:sz w:val="20"/>
          <w:szCs w:val="20"/>
        </w:rPr>
        <w:t xml:space="preserve">69, route d'Esch • L-2953 Luxembourg </w:t>
      </w:r>
    </w:p>
    <w:p w14:paraId="140E72FD" w14:textId="77777777" w:rsidR="00487A1E" w:rsidRPr="00A839B6" w:rsidRDefault="00487A1E" w:rsidP="00487A1E">
      <w:pPr>
        <w:autoSpaceDE w:val="0"/>
        <w:autoSpaceDN w:val="0"/>
        <w:adjustRightInd w:val="0"/>
        <w:jc w:val="both"/>
        <w:rPr>
          <w:rFonts w:ascii="Arial" w:eastAsia="MS Mincho" w:hAnsi="Arial" w:cs="Arial"/>
          <w:snapToGrid w:val="0"/>
          <w:sz w:val="20"/>
          <w:szCs w:val="20"/>
          <w:lang w:val="fr-LU"/>
        </w:rPr>
      </w:pPr>
      <w:r w:rsidRPr="00A839B6">
        <w:rPr>
          <w:rFonts w:ascii="Arial" w:hAnsi="Arial" w:cs="Arial"/>
          <w:sz w:val="20"/>
          <w:szCs w:val="20"/>
        </w:rPr>
        <w:t>Tel: +352 4590 5046 - Email: vincent.pelletier@bil.com</w:t>
      </w:r>
    </w:p>
    <w:p w14:paraId="79E15890" w14:textId="77777777" w:rsidR="00487A1E" w:rsidRPr="00487A1E" w:rsidRDefault="00487A1E" w:rsidP="00847FE0">
      <w:pPr>
        <w:autoSpaceDE w:val="0"/>
        <w:autoSpaceDN w:val="0"/>
        <w:adjustRightInd w:val="0"/>
        <w:jc w:val="both"/>
        <w:rPr>
          <w:rFonts w:ascii="Arial" w:eastAsia="MS Mincho" w:hAnsi="Arial" w:cs="Arial"/>
          <w:snapToGrid w:val="0"/>
          <w:sz w:val="20"/>
          <w:szCs w:val="20"/>
          <w:lang w:val="fr-LU"/>
        </w:rPr>
      </w:pPr>
    </w:p>
    <w:sectPr w:rsidR="00487A1E" w:rsidRPr="00487A1E" w:rsidSect="00A14794">
      <w:headerReference w:type="default" r:id="rId11"/>
      <w:pgSz w:w="11900" w:h="16840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B291C" w14:textId="77777777" w:rsidR="009B79A7" w:rsidRPr="00206656" w:rsidRDefault="009B79A7" w:rsidP="00206656">
      <w:r>
        <w:separator/>
      </w:r>
    </w:p>
  </w:endnote>
  <w:endnote w:type="continuationSeparator" w:id="0">
    <w:p w14:paraId="5F655A7F" w14:textId="77777777" w:rsidR="009B79A7" w:rsidRPr="00206656" w:rsidRDefault="009B79A7" w:rsidP="0020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60E99" w14:textId="77777777" w:rsidR="009B79A7" w:rsidRPr="00206656" w:rsidRDefault="009B79A7" w:rsidP="00206656">
      <w:r>
        <w:separator/>
      </w:r>
    </w:p>
  </w:footnote>
  <w:footnote w:type="continuationSeparator" w:id="0">
    <w:p w14:paraId="746CCD86" w14:textId="77777777" w:rsidR="009B79A7" w:rsidRPr="00206656" w:rsidRDefault="009B79A7" w:rsidP="0020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5954"/>
    </w:tblGrid>
    <w:tr w:rsidR="00C7799E" w14:paraId="65E64106" w14:textId="77777777" w:rsidTr="00A14794">
      <w:tc>
        <w:tcPr>
          <w:tcW w:w="4111" w:type="dxa"/>
        </w:tcPr>
        <w:p w14:paraId="012CC820" w14:textId="77777777" w:rsidR="00C7799E" w:rsidRDefault="00C7799E" w:rsidP="00C7799E">
          <w:pPr>
            <w:pStyle w:val="Header"/>
            <w:jc w:val="both"/>
            <w:rPr>
              <w:b/>
            </w:rPr>
          </w:pPr>
          <w:r>
            <w:rPr>
              <w:noProof/>
              <w:lang w:val="fr-LU" w:eastAsia="fr-LU"/>
            </w:rPr>
            <w:drawing>
              <wp:inline distT="0" distB="0" distL="0" distR="0" wp14:anchorId="7949CD73" wp14:editId="1F5BA360">
                <wp:extent cx="2340712" cy="1205230"/>
                <wp:effectExtent l="0" t="0" r="254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_LOGO_COMPLET_RV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6584" cy="12082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2E062D06" w14:textId="77777777" w:rsidR="00A14794" w:rsidRDefault="00A14794" w:rsidP="00C7799E">
          <w:pPr>
            <w:pStyle w:val="Header"/>
            <w:jc w:val="both"/>
            <w:rPr>
              <w:b/>
            </w:rPr>
          </w:pPr>
        </w:p>
        <w:p w14:paraId="3DF9F7E7" w14:textId="77777777" w:rsidR="00A14794" w:rsidRDefault="00A14794" w:rsidP="00C7799E">
          <w:pPr>
            <w:pStyle w:val="Header"/>
            <w:jc w:val="both"/>
            <w:rPr>
              <w:b/>
            </w:rPr>
          </w:pPr>
        </w:p>
        <w:p w14:paraId="39A82B27" w14:textId="77777777" w:rsidR="00C7799E" w:rsidRPr="00A14794" w:rsidRDefault="00C7799E" w:rsidP="00A14794">
          <w:pPr>
            <w:pStyle w:val="Header"/>
            <w:jc w:val="both"/>
            <w:rPr>
              <w:b/>
              <w:color w:val="7030A0"/>
            </w:rPr>
          </w:pPr>
          <w:r w:rsidRPr="00A14794">
            <w:rPr>
              <w:b/>
              <w:color w:val="7030A0"/>
            </w:rPr>
            <w:t xml:space="preserve">COMMUNIQUÉ DE PRESSE </w:t>
          </w:r>
        </w:p>
        <w:p w14:paraId="038C4B3E" w14:textId="77777777" w:rsidR="00C7799E" w:rsidRPr="00A14794" w:rsidRDefault="00C7799E" w:rsidP="00A14794">
          <w:pPr>
            <w:pStyle w:val="Header"/>
            <w:jc w:val="both"/>
            <w:rPr>
              <w:b/>
              <w:color w:val="7030A0"/>
            </w:rPr>
          </w:pPr>
          <w:r w:rsidRPr="00A14794">
            <w:rPr>
              <w:b/>
              <w:color w:val="7030A0"/>
            </w:rPr>
            <w:t xml:space="preserve">PRESSEMITTEILUNG </w:t>
          </w:r>
        </w:p>
        <w:p w14:paraId="382F355B" w14:textId="77777777" w:rsidR="00C7799E" w:rsidRPr="00A14794" w:rsidRDefault="00C7799E" w:rsidP="00A14794">
          <w:pPr>
            <w:pStyle w:val="Header"/>
            <w:jc w:val="both"/>
            <w:rPr>
              <w:color w:val="7030A0"/>
            </w:rPr>
          </w:pPr>
          <w:r w:rsidRPr="00A14794">
            <w:rPr>
              <w:b/>
              <w:color w:val="7030A0"/>
            </w:rPr>
            <w:t>PRESS RELEASE</w:t>
          </w:r>
        </w:p>
        <w:p w14:paraId="061EC7DE" w14:textId="77777777" w:rsidR="00C7799E" w:rsidRDefault="00C7799E" w:rsidP="00C7799E">
          <w:pPr>
            <w:pStyle w:val="Header"/>
            <w:jc w:val="both"/>
            <w:rPr>
              <w:b/>
            </w:rPr>
          </w:pPr>
        </w:p>
      </w:tc>
    </w:tr>
  </w:tbl>
  <w:p w14:paraId="4D5977EB" w14:textId="77777777" w:rsidR="00C7799E" w:rsidRDefault="00C7799E" w:rsidP="00A14794">
    <w:pPr>
      <w:pStyle w:val="Header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C2B40"/>
    <w:multiLevelType w:val="hybridMultilevel"/>
    <w:tmpl w:val="7A70B4D6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373B6"/>
    <w:multiLevelType w:val="hybridMultilevel"/>
    <w:tmpl w:val="B5F6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829C2"/>
    <w:multiLevelType w:val="hybridMultilevel"/>
    <w:tmpl w:val="5F300C02"/>
    <w:lvl w:ilvl="0" w:tplc="6DD01BD4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2426D"/>
    <w:multiLevelType w:val="hybridMultilevel"/>
    <w:tmpl w:val="6A5809CE"/>
    <w:lvl w:ilvl="0" w:tplc="411EA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9CED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F60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B061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3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425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A81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21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120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4B703F2"/>
    <w:multiLevelType w:val="hybridMultilevel"/>
    <w:tmpl w:val="0A12D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E68D8"/>
    <w:multiLevelType w:val="hybridMultilevel"/>
    <w:tmpl w:val="89DC45FE"/>
    <w:lvl w:ilvl="0" w:tplc="D5AEF458">
      <w:numFmt w:val="bullet"/>
      <w:lvlText w:val=""/>
      <w:lvlJc w:val="left"/>
      <w:pPr>
        <w:ind w:left="720" w:hanging="360"/>
      </w:pPr>
      <w:rPr>
        <w:rFonts w:ascii="Wingdings" w:eastAsia="MS Mincho" w:hAnsi="Wingdings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01C3F"/>
    <w:multiLevelType w:val="hybridMultilevel"/>
    <w:tmpl w:val="F05E0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E51B3"/>
    <w:multiLevelType w:val="hybridMultilevel"/>
    <w:tmpl w:val="243A3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C51A4"/>
    <w:multiLevelType w:val="hybridMultilevel"/>
    <w:tmpl w:val="0F0A3C02"/>
    <w:lvl w:ilvl="0" w:tplc="BD3E6C74">
      <w:numFmt w:val="bullet"/>
      <w:lvlText w:val="-"/>
      <w:lvlJc w:val="left"/>
      <w:pPr>
        <w:ind w:left="720" w:hanging="360"/>
      </w:pPr>
      <w:rPr>
        <w:rFonts w:ascii="Helvetica" w:eastAsia="MS Mincho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17EEC"/>
    <w:multiLevelType w:val="hybridMultilevel"/>
    <w:tmpl w:val="970C5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80647"/>
    <w:multiLevelType w:val="hybridMultilevel"/>
    <w:tmpl w:val="107E0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10BE2"/>
    <w:multiLevelType w:val="hybridMultilevel"/>
    <w:tmpl w:val="8BBE7672"/>
    <w:lvl w:ilvl="0" w:tplc="F5205078">
      <w:numFmt w:val="bullet"/>
      <w:lvlText w:val="-"/>
      <w:lvlJc w:val="left"/>
      <w:pPr>
        <w:ind w:left="720" w:hanging="360"/>
      </w:pPr>
      <w:rPr>
        <w:rFonts w:ascii="Helvetica" w:eastAsia="MS Mincho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C5B81"/>
    <w:multiLevelType w:val="hybridMultilevel"/>
    <w:tmpl w:val="16AC2DA6"/>
    <w:lvl w:ilvl="0" w:tplc="6DD01BD4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CC024A"/>
    <w:multiLevelType w:val="hybridMultilevel"/>
    <w:tmpl w:val="12A6ECD4"/>
    <w:lvl w:ilvl="0" w:tplc="1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11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13"/>
  </w:num>
  <w:num w:numId="12">
    <w:abstractNumId w:val="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defaultTabStop w:val="708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F"/>
    <w:rsid w:val="00003593"/>
    <w:rsid w:val="0000431C"/>
    <w:rsid w:val="000047F5"/>
    <w:rsid w:val="00012F77"/>
    <w:rsid w:val="000204A0"/>
    <w:rsid w:val="00021569"/>
    <w:rsid w:val="00025CAC"/>
    <w:rsid w:val="0003164E"/>
    <w:rsid w:val="00040A81"/>
    <w:rsid w:val="00042E39"/>
    <w:rsid w:val="00042E86"/>
    <w:rsid w:val="00053666"/>
    <w:rsid w:val="000638E2"/>
    <w:rsid w:val="000645BC"/>
    <w:rsid w:val="00066BA5"/>
    <w:rsid w:val="00067D31"/>
    <w:rsid w:val="00074001"/>
    <w:rsid w:val="00084297"/>
    <w:rsid w:val="00086EB8"/>
    <w:rsid w:val="00095B67"/>
    <w:rsid w:val="000B081C"/>
    <w:rsid w:val="000B39B9"/>
    <w:rsid w:val="000C38E9"/>
    <w:rsid w:val="000D0210"/>
    <w:rsid w:val="000D56BF"/>
    <w:rsid w:val="000D7DC4"/>
    <w:rsid w:val="000E12E0"/>
    <w:rsid w:val="000E3211"/>
    <w:rsid w:val="000E5590"/>
    <w:rsid w:val="000E7994"/>
    <w:rsid w:val="00101DD0"/>
    <w:rsid w:val="00101F88"/>
    <w:rsid w:val="0010251F"/>
    <w:rsid w:val="00102A40"/>
    <w:rsid w:val="00106FCE"/>
    <w:rsid w:val="00112FDA"/>
    <w:rsid w:val="00120FAA"/>
    <w:rsid w:val="00125C69"/>
    <w:rsid w:val="00132847"/>
    <w:rsid w:val="0013601E"/>
    <w:rsid w:val="00141064"/>
    <w:rsid w:val="00144532"/>
    <w:rsid w:val="00145978"/>
    <w:rsid w:val="0014658A"/>
    <w:rsid w:val="00152097"/>
    <w:rsid w:val="001546B7"/>
    <w:rsid w:val="00155E8E"/>
    <w:rsid w:val="00163C5B"/>
    <w:rsid w:val="00164390"/>
    <w:rsid w:val="00167A34"/>
    <w:rsid w:val="001720DE"/>
    <w:rsid w:val="001756AA"/>
    <w:rsid w:val="00184ACF"/>
    <w:rsid w:val="00191754"/>
    <w:rsid w:val="00197885"/>
    <w:rsid w:val="001A7BCD"/>
    <w:rsid w:val="001B3277"/>
    <w:rsid w:val="001B78F4"/>
    <w:rsid w:val="001B7BA0"/>
    <w:rsid w:val="001C01D4"/>
    <w:rsid w:val="001C531E"/>
    <w:rsid w:val="001E0325"/>
    <w:rsid w:val="001E0634"/>
    <w:rsid w:val="001E3CC1"/>
    <w:rsid w:val="001E5335"/>
    <w:rsid w:val="001F4B8E"/>
    <w:rsid w:val="001F5DB0"/>
    <w:rsid w:val="00202DF6"/>
    <w:rsid w:val="0020572F"/>
    <w:rsid w:val="002057E1"/>
    <w:rsid w:val="00206656"/>
    <w:rsid w:val="00207AA7"/>
    <w:rsid w:val="0021253E"/>
    <w:rsid w:val="00212802"/>
    <w:rsid w:val="00214F0F"/>
    <w:rsid w:val="002151F2"/>
    <w:rsid w:val="00225080"/>
    <w:rsid w:val="00225206"/>
    <w:rsid w:val="002263A3"/>
    <w:rsid w:val="002309B0"/>
    <w:rsid w:val="00233803"/>
    <w:rsid w:val="00235689"/>
    <w:rsid w:val="00235C4E"/>
    <w:rsid w:val="002379C0"/>
    <w:rsid w:val="00243149"/>
    <w:rsid w:val="002443C4"/>
    <w:rsid w:val="00255055"/>
    <w:rsid w:val="00262BAD"/>
    <w:rsid w:val="0026361A"/>
    <w:rsid w:val="00270CB5"/>
    <w:rsid w:val="00276E91"/>
    <w:rsid w:val="002774F9"/>
    <w:rsid w:val="00282DA6"/>
    <w:rsid w:val="00285CED"/>
    <w:rsid w:val="0029137B"/>
    <w:rsid w:val="002A1354"/>
    <w:rsid w:val="002A5823"/>
    <w:rsid w:val="002A7FF8"/>
    <w:rsid w:val="002B205C"/>
    <w:rsid w:val="002B4D71"/>
    <w:rsid w:val="002C0D91"/>
    <w:rsid w:val="002D2AD8"/>
    <w:rsid w:val="002D4DC9"/>
    <w:rsid w:val="002D64AF"/>
    <w:rsid w:val="002E06CB"/>
    <w:rsid w:val="002E1C50"/>
    <w:rsid w:val="002F25D3"/>
    <w:rsid w:val="00300D7A"/>
    <w:rsid w:val="0030600A"/>
    <w:rsid w:val="00315D94"/>
    <w:rsid w:val="00316B48"/>
    <w:rsid w:val="00317E86"/>
    <w:rsid w:val="00326A92"/>
    <w:rsid w:val="00344EA7"/>
    <w:rsid w:val="003510D4"/>
    <w:rsid w:val="00351F38"/>
    <w:rsid w:val="00360014"/>
    <w:rsid w:val="003670BB"/>
    <w:rsid w:val="003715EF"/>
    <w:rsid w:val="00372C76"/>
    <w:rsid w:val="00372E23"/>
    <w:rsid w:val="00373970"/>
    <w:rsid w:val="00374547"/>
    <w:rsid w:val="003759F3"/>
    <w:rsid w:val="00375BFC"/>
    <w:rsid w:val="00382FCF"/>
    <w:rsid w:val="00390828"/>
    <w:rsid w:val="00391352"/>
    <w:rsid w:val="00391BC9"/>
    <w:rsid w:val="003A1B53"/>
    <w:rsid w:val="003A5DF2"/>
    <w:rsid w:val="003B159B"/>
    <w:rsid w:val="003B2D35"/>
    <w:rsid w:val="003B64FC"/>
    <w:rsid w:val="003B78C7"/>
    <w:rsid w:val="003B7C62"/>
    <w:rsid w:val="003C6C75"/>
    <w:rsid w:val="003D52EF"/>
    <w:rsid w:val="003D5E68"/>
    <w:rsid w:val="003D6E90"/>
    <w:rsid w:val="003E6F6D"/>
    <w:rsid w:val="003F35DA"/>
    <w:rsid w:val="00401E42"/>
    <w:rsid w:val="00403269"/>
    <w:rsid w:val="0041103C"/>
    <w:rsid w:val="00417569"/>
    <w:rsid w:val="0042061D"/>
    <w:rsid w:val="00422A14"/>
    <w:rsid w:val="004317A0"/>
    <w:rsid w:val="00432C6F"/>
    <w:rsid w:val="00433635"/>
    <w:rsid w:val="00437225"/>
    <w:rsid w:val="00440036"/>
    <w:rsid w:val="00443B7A"/>
    <w:rsid w:val="004446DB"/>
    <w:rsid w:val="0045721D"/>
    <w:rsid w:val="00460A39"/>
    <w:rsid w:val="004613E5"/>
    <w:rsid w:val="004621CD"/>
    <w:rsid w:val="00465CCD"/>
    <w:rsid w:val="00466171"/>
    <w:rsid w:val="00470A05"/>
    <w:rsid w:val="004729F5"/>
    <w:rsid w:val="0047400B"/>
    <w:rsid w:val="00481740"/>
    <w:rsid w:val="00481807"/>
    <w:rsid w:val="00487A1E"/>
    <w:rsid w:val="0049426B"/>
    <w:rsid w:val="004B3F85"/>
    <w:rsid w:val="004C2DED"/>
    <w:rsid w:val="004C46FB"/>
    <w:rsid w:val="004C7A3C"/>
    <w:rsid w:val="004D1EB6"/>
    <w:rsid w:val="004D1F96"/>
    <w:rsid w:val="004E6CF5"/>
    <w:rsid w:val="004F7CDF"/>
    <w:rsid w:val="00505427"/>
    <w:rsid w:val="005108AF"/>
    <w:rsid w:val="005117AB"/>
    <w:rsid w:val="00511D34"/>
    <w:rsid w:val="0051320B"/>
    <w:rsid w:val="00520860"/>
    <w:rsid w:val="005225A8"/>
    <w:rsid w:val="00524D32"/>
    <w:rsid w:val="0052644E"/>
    <w:rsid w:val="00526C15"/>
    <w:rsid w:val="005329EB"/>
    <w:rsid w:val="00532B45"/>
    <w:rsid w:val="0053346A"/>
    <w:rsid w:val="0054766B"/>
    <w:rsid w:val="00552A7B"/>
    <w:rsid w:val="00553630"/>
    <w:rsid w:val="00554511"/>
    <w:rsid w:val="0055487E"/>
    <w:rsid w:val="00554E08"/>
    <w:rsid w:val="0055683E"/>
    <w:rsid w:val="00565E00"/>
    <w:rsid w:val="005722B8"/>
    <w:rsid w:val="00572ED5"/>
    <w:rsid w:val="00575C52"/>
    <w:rsid w:val="005777A3"/>
    <w:rsid w:val="00580805"/>
    <w:rsid w:val="005818ED"/>
    <w:rsid w:val="0058410B"/>
    <w:rsid w:val="00592180"/>
    <w:rsid w:val="005928A6"/>
    <w:rsid w:val="005947B4"/>
    <w:rsid w:val="005B09B5"/>
    <w:rsid w:val="005B1108"/>
    <w:rsid w:val="005B44D5"/>
    <w:rsid w:val="005B538B"/>
    <w:rsid w:val="005C5189"/>
    <w:rsid w:val="005D0034"/>
    <w:rsid w:val="005D3C3B"/>
    <w:rsid w:val="005D57ED"/>
    <w:rsid w:val="005D7B83"/>
    <w:rsid w:val="005E3E3F"/>
    <w:rsid w:val="005F48C7"/>
    <w:rsid w:val="00615C39"/>
    <w:rsid w:val="00624E05"/>
    <w:rsid w:val="0063485B"/>
    <w:rsid w:val="00635248"/>
    <w:rsid w:val="006360F4"/>
    <w:rsid w:val="00636941"/>
    <w:rsid w:val="00636B1A"/>
    <w:rsid w:val="00643AFE"/>
    <w:rsid w:val="00655945"/>
    <w:rsid w:val="0066237B"/>
    <w:rsid w:val="00664D8A"/>
    <w:rsid w:val="006717CF"/>
    <w:rsid w:val="0067671B"/>
    <w:rsid w:val="00693055"/>
    <w:rsid w:val="00696CD3"/>
    <w:rsid w:val="006A08FF"/>
    <w:rsid w:val="006A22FF"/>
    <w:rsid w:val="006A43FE"/>
    <w:rsid w:val="006A7AF4"/>
    <w:rsid w:val="006B1D6A"/>
    <w:rsid w:val="006B3A84"/>
    <w:rsid w:val="006B6E57"/>
    <w:rsid w:val="006D1395"/>
    <w:rsid w:val="006D2379"/>
    <w:rsid w:val="006D310C"/>
    <w:rsid w:val="006D36BE"/>
    <w:rsid w:val="006D5FD5"/>
    <w:rsid w:val="006D6A77"/>
    <w:rsid w:val="006E1E96"/>
    <w:rsid w:val="006E4DAE"/>
    <w:rsid w:val="006E4FAA"/>
    <w:rsid w:val="006E6DBA"/>
    <w:rsid w:val="007016C5"/>
    <w:rsid w:val="00702565"/>
    <w:rsid w:val="00703AB5"/>
    <w:rsid w:val="007048D6"/>
    <w:rsid w:val="00705FBC"/>
    <w:rsid w:val="00711F33"/>
    <w:rsid w:val="00724BA0"/>
    <w:rsid w:val="00726F88"/>
    <w:rsid w:val="00733F26"/>
    <w:rsid w:val="00737BFC"/>
    <w:rsid w:val="00741548"/>
    <w:rsid w:val="0074460D"/>
    <w:rsid w:val="00750D7F"/>
    <w:rsid w:val="00755840"/>
    <w:rsid w:val="00755D9F"/>
    <w:rsid w:val="0075720E"/>
    <w:rsid w:val="00765004"/>
    <w:rsid w:val="0076555D"/>
    <w:rsid w:val="00771702"/>
    <w:rsid w:val="007754D7"/>
    <w:rsid w:val="007826B0"/>
    <w:rsid w:val="00782E46"/>
    <w:rsid w:val="007853EE"/>
    <w:rsid w:val="0078626C"/>
    <w:rsid w:val="00790BB2"/>
    <w:rsid w:val="007916B0"/>
    <w:rsid w:val="007931D7"/>
    <w:rsid w:val="007941CA"/>
    <w:rsid w:val="007A1F10"/>
    <w:rsid w:val="007B464E"/>
    <w:rsid w:val="007C047E"/>
    <w:rsid w:val="007C63CC"/>
    <w:rsid w:val="007D0842"/>
    <w:rsid w:val="007D1A1A"/>
    <w:rsid w:val="007D527C"/>
    <w:rsid w:val="007D6CF2"/>
    <w:rsid w:val="007E330F"/>
    <w:rsid w:val="007E6011"/>
    <w:rsid w:val="007E6D70"/>
    <w:rsid w:val="007F3743"/>
    <w:rsid w:val="007F7A55"/>
    <w:rsid w:val="00800CE4"/>
    <w:rsid w:val="0080435F"/>
    <w:rsid w:val="00806055"/>
    <w:rsid w:val="00810714"/>
    <w:rsid w:val="00813963"/>
    <w:rsid w:val="00825F24"/>
    <w:rsid w:val="00831790"/>
    <w:rsid w:val="008355A0"/>
    <w:rsid w:val="0083707A"/>
    <w:rsid w:val="008379CD"/>
    <w:rsid w:val="00837EAB"/>
    <w:rsid w:val="008407DB"/>
    <w:rsid w:val="00844337"/>
    <w:rsid w:val="00844C45"/>
    <w:rsid w:val="00844CD9"/>
    <w:rsid w:val="00847310"/>
    <w:rsid w:val="00847FE0"/>
    <w:rsid w:val="00850301"/>
    <w:rsid w:val="00854276"/>
    <w:rsid w:val="0086743D"/>
    <w:rsid w:val="00870533"/>
    <w:rsid w:val="008814A3"/>
    <w:rsid w:val="00883991"/>
    <w:rsid w:val="00895B87"/>
    <w:rsid w:val="008A6A9E"/>
    <w:rsid w:val="008A6D0D"/>
    <w:rsid w:val="008B592E"/>
    <w:rsid w:val="008C1003"/>
    <w:rsid w:val="008C2B7A"/>
    <w:rsid w:val="008C38DB"/>
    <w:rsid w:val="008C4E7D"/>
    <w:rsid w:val="008D2834"/>
    <w:rsid w:val="008D7DF3"/>
    <w:rsid w:val="008F2C9D"/>
    <w:rsid w:val="008F45B4"/>
    <w:rsid w:val="008F79D4"/>
    <w:rsid w:val="009043CA"/>
    <w:rsid w:val="009079FD"/>
    <w:rsid w:val="009118AC"/>
    <w:rsid w:val="0091320B"/>
    <w:rsid w:val="0092232B"/>
    <w:rsid w:val="009228D3"/>
    <w:rsid w:val="0092604A"/>
    <w:rsid w:val="009264D6"/>
    <w:rsid w:val="00927A10"/>
    <w:rsid w:val="00933676"/>
    <w:rsid w:val="009337AB"/>
    <w:rsid w:val="00934843"/>
    <w:rsid w:val="00937731"/>
    <w:rsid w:val="00940357"/>
    <w:rsid w:val="00943723"/>
    <w:rsid w:val="00951BB0"/>
    <w:rsid w:val="00956346"/>
    <w:rsid w:val="0096145C"/>
    <w:rsid w:val="009640A7"/>
    <w:rsid w:val="009653F2"/>
    <w:rsid w:val="0097163F"/>
    <w:rsid w:val="009760E1"/>
    <w:rsid w:val="00976BD0"/>
    <w:rsid w:val="009846DB"/>
    <w:rsid w:val="0099196A"/>
    <w:rsid w:val="00993CE6"/>
    <w:rsid w:val="00993F2F"/>
    <w:rsid w:val="009946F6"/>
    <w:rsid w:val="009A1978"/>
    <w:rsid w:val="009A4D14"/>
    <w:rsid w:val="009A6A65"/>
    <w:rsid w:val="009A7182"/>
    <w:rsid w:val="009B0CF7"/>
    <w:rsid w:val="009B6CA6"/>
    <w:rsid w:val="009B79A7"/>
    <w:rsid w:val="009C0A14"/>
    <w:rsid w:val="009D001A"/>
    <w:rsid w:val="009D68E8"/>
    <w:rsid w:val="009E6E71"/>
    <w:rsid w:val="009E7A75"/>
    <w:rsid w:val="009F3620"/>
    <w:rsid w:val="009F73BE"/>
    <w:rsid w:val="00A00AE3"/>
    <w:rsid w:val="00A01FDF"/>
    <w:rsid w:val="00A05767"/>
    <w:rsid w:val="00A07CAD"/>
    <w:rsid w:val="00A14794"/>
    <w:rsid w:val="00A22A06"/>
    <w:rsid w:val="00A26198"/>
    <w:rsid w:val="00A26745"/>
    <w:rsid w:val="00A31654"/>
    <w:rsid w:val="00A324BA"/>
    <w:rsid w:val="00A371D8"/>
    <w:rsid w:val="00A428F7"/>
    <w:rsid w:val="00A42AC3"/>
    <w:rsid w:val="00A43019"/>
    <w:rsid w:val="00A51B18"/>
    <w:rsid w:val="00A52ED2"/>
    <w:rsid w:val="00A54A49"/>
    <w:rsid w:val="00A55982"/>
    <w:rsid w:val="00A609D8"/>
    <w:rsid w:val="00A72B87"/>
    <w:rsid w:val="00A81AED"/>
    <w:rsid w:val="00A91808"/>
    <w:rsid w:val="00A9497A"/>
    <w:rsid w:val="00AA27A1"/>
    <w:rsid w:val="00AA6097"/>
    <w:rsid w:val="00AA7393"/>
    <w:rsid w:val="00AB0E70"/>
    <w:rsid w:val="00AB5E7B"/>
    <w:rsid w:val="00AB7D15"/>
    <w:rsid w:val="00AC019A"/>
    <w:rsid w:val="00AC4D1C"/>
    <w:rsid w:val="00AE26B0"/>
    <w:rsid w:val="00B01CD9"/>
    <w:rsid w:val="00B044E8"/>
    <w:rsid w:val="00B04AB5"/>
    <w:rsid w:val="00B07CE7"/>
    <w:rsid w:val="00B1230B"/>
    <w:rsid w:val="00B16BB6"/>
    <w:rsid w:val="00B37064"/>
    <w:rsid w:val="00B40CB2"/>
    <w:rsid w:val="00B410A4"/>
    <w:rsid w:val="00B52F73"/>
    <w:rsid w:val="00B57B67"/>
    <w:rsid w:val="00B652DE"/>
    <w:rsid w:val="00B71FF2"/>
    <w:rsid w:val="00B72CB0"/>
    <w:rsid w:val="00B7585D"/>
    <w:rsid w:val="00B90BA7"/>
    <w:rsid w:val="00B93D6F"/>
    <w:rsid w:val="00B95821"/>
    <w:rsid w:val="00B97C40"/>
    <w:rsid w:val="00BA1139"/>
    <w:rsid w:val="00BB1395"/>
    <w:rsid w:val="00BB17DA"/>
    <w:rsid w:val="00BB1F03"/>
    <w:rsid w:val="00BB3444"/>
    <w:rsid w:val="00BB4792"/>
    <w:rsid w:val="00BB71CE"/>
    <w:rsid w:val="00BC04EC"/>
    <w:rsid w:val="00BC05C7"/>
    <w:rsid w:val="00BC39EA"/>
    <w:rsid w:val="00BD2F40"/>
    <w:rsid w:val="00BD59C5"/>
    <w:rsid w:val="00BE3998"/>
    <w:rsid w:val="00BE53EC"/>
    <w:rsid w:val="00BE6680"/>
    <w:rsid w:val="00BF2FBF"/>
    <w:rsid w:val="00BF4065"/>
    <w:rsid w:val="00C02201"/>
    <w:rsid w:val="00C05584"/>
    <w:rsid w:val="00C05D52"/>
    <w:rsid w:val="00C13E12"/>
    <w:rsid w:val="00C20EF4"/>
    <w:rsid w:val="00C33BB6"/>
    <w:rsid w:val="00C37E9F"/>
    <w:rsid w:val="00C42BEF"/>
    <w:rsid w:val="00C50EEB"/>
    <w:rsid w:val="00C5234C"/>
    <w:rsid w:val="00C5354D"/>
    <w:rsid w:val="00C5451D"/>
    <w:rsid w:val="00C60BBA"/>
    <w:rsid w:val="00C61C21"/>
    <w:rsid w:val="00C6246F"/>
    <w:rsid w:val="00C631AF"/>
    <w:rsid w:val="00C749EA"/>
    <w:rsid w:val="00C76809"/>
    <w:rsid w:val="00C773AC"/>
    <w:rsid w:val="00C7799E"/>
    <w:rsid w:val="00C8355B"/>
    <w:rsid w:val="00C83CF5"/>
    <w:rsid w:val="00C841B3"/>
    <w:rsid w:val="00C92861"/>
    <w:rsid w:val="00C95FFA"/>
    <w:rsid w:val="00CA44D5"/>
    <w:rsid w:val="00CB18B5"/>
    <w:rsid w:val="00CC1AFE"/>
    <w:rsid w:val="00CC1F01"/>
    <w:rsid w:val="00CC5125"/>
    <w:rsid w:val="00CC7DC9"/>
    <w:rsid w:val="00CD53F2"/>
    <w:rsid w:val="00CD7B13"/>
    <w:rsid w:val="00CE1487"/>
    <w:rsid w:val="00CE2CFA"/>
    <w:rsid w:val="00CE386D"/>
    <w:rsid w:val="00CF100B"/>
    <w:rsid w:val="00CF28F7"/>
    <w:rsid w:val="00D014B2"/>
    <w:rsid w:val="00D02EEC"/>
    <w:rsid w:val="00D07A72"/>
    <w:rsid w:val="00D10A1A"/>
    <w:rsid w:val="00D125B1"/>
    <w:rsid w:val="00D12E63"/>
    <w:rsid w:val="00D20008"/>
    <w:rsid w:val="00D21B03"/>
    <w:rsid w:val="00D2434E"/>
    <w:rsid w:val="00D33717"/>
    <w:rsid w:val="00D354DC"/>
    <w:rsid w:val="00D42CC9"/>
    <w:rsid w:val="00D45B00"/>
    <w:rsid w:val="00D45F11"/>
    <w:rsid w:val="00D52310"/>
    <w:rsid w:val="00D55ADC"/>
    <w:rsid w:val="00D61A46"/>
    <w:rsid w:val="00D61E82"/>
    <w:rsid w:val="00D630CD"/>
    <w:rsid w:val="00D64EE4"/>
    <w:rsid w:val="00D878D4"/>
    <w:rsid w:val="00D942A2"/>
    <w:rsid w:val="00DA4E08"/>
    <w:rsid w:val="00DA5F17"/>
    <w:rsid w:val="00DB31BF"/>
    <w:rsid w:val="00DB584D"/>
    <w:rsid w:val="00DC2A78"/>
    <w:rsid w:val="00DC7B07"/>
    <w:rsid w:val="00DD6867"/>
    <w:rsid w:val="00DD76EA"/>
    <w:rsid w:val="00DE0640"/>
    <w:rsid w:val="00DF06CB"/>
    <w:rsid w:val="00DF5489"/>
    <w:rsid w:val="00E002EF"/>
    <w:rsid w:val="00E02785"/>
    <w:rsid w:val="00E028A9"/>
    <w:rsid w:val="00E058DE"/>
    <w:rsid w:val="00E077ED"/>
    <w:rsid w:val="00E10994"/>
    <w:rsid w:val="00E13AD0"/>
    <w:rsid w:val="00E14066"/>
    <w:rsid w:val="00E14E2A"/>
    <w:rsid w:val="00E174F5"/>
    <w:rsid w:val="00E2026A"/>
    <w:rsid w:val="00E206AF"/>
    <w:rsid w:val="00E30D93"/>
    <w:rsid w:val="00E31A53"/>
    <w:rsid w:val="00E34D17"/>
    <w:rsid w:val="00E415F9"/>
    <w:rsid w:val="00E57B9B"/>
    <w:rsid w:val="00E6076E"/>
    <w:rsid w:val="00E61D56"/>
    <w:rsid w:val="00E65784"/>
    <w:rsid w:val="00E65EA6"/>
    <w:rsid w:val="00E66F30"/>
    <w:rsid w:val="00E703B8"/>
    <w:rsid w:val="00E709ED"/>
    <w:rsid w:val="00E7101D"/>
    <w:rsid w:val="00E7206D"/>
    <w:rsid w:val="00E83000"/>
    <w:rsid w:val="00E97AD3"/>
    <w:rsid w:val="00EA2510"/>
    <w:rsid w:val="00EA75B7"/>
    <w:rsid w:val="00EB06F1"/>
    <w:rsid w:val="00EB28FF"/>
    <w:rsid w:val="00EB3A3C"/>
    <w:rsid w:val="00EB4BE3"/>
    <w:rsid w:val="00EB7600"/>
    <w:rsid w:val="00EC182C"/>
    <w:rsid w:val="00EC53E5"/>
    <w:rsid w:val="00EC5A91"/>
    <w:rsid w:val="00EC628D"/>
    <w:rsid w:val="00ED1810"/>
    <w:rsid w:val="00ED24C2"/>
    <w:rsid w:val="00ED63AF"/>
    <w:rsid w:val="00ED749F"/>
    <w:rsid w:val="00EE4449"/>
    <w:rsid w:val="00EE565F"/>
    <w:rsid w:val="00EE5967"/>
    <w:rsid w:val="00EF1779"/>
    <w:rsid w:val="00EF1FC5"/>
    <w:rsid w:val="00EF4EB8"/>
    <w:rsid w:val="00EF5005"/>
    <w:rsid w:val="00F01435"/>
    <w:rsid w:val="00F01C44"/>
    <w:rsid w:val="00F03B52"/>
    <w:rsid w:val="00F04ED2"/>
    <w:rsid w:val="00F11530"/>
    <w:rsid w:val="00F167F4"/>
    <w:rsid w:val="00F25C48"/>
    <w:rsid w:val="00F31BAF"/>
    <w:rsid w:val="00F325D2"/>
    <w:rsid w:val="00F32747"/>
    <w:rsid w:val="00F34EE0"/>
    <w:rsid w:val="00F4771C"/>
    <w:rsid w:val="00F51DDC"/>
    <w:rsid w:val="00F52138"/>
    <w:rsid w:val="00F57C0F"/>
    <w:rsid w:val="00F651D9"/>
    <w:rsid w:val="00F714D8"/>
    <w:rsid w:val="00F97B0D"/>
    <w:rsid w:val="00FA1356"/>
    <w:rsid w:val="00FA4ABF"/>
    <w:rsid w:val="00FA73DA"/>
    <w:rsid w:val="00FA7F15"/>
    <w:rsid w:val="00FB088B"/>
    <w:rsid w:val="00FB323D"/>
    <w:rsid w:val="00FB380E"/>
    <w:rsid w:val="00FB4767"/>
    <w:rsid w:val="00FB73E1"/>
    <w:rsid w:val="00FC12C1"/>
    <w:rsid w:val="00FC16A6"/>
    <w:rsid w:val="00FC23C6"/>
    <w:rsid w:val="00FC362F"/>
    <w:rsid w:val="00FD4E3F"/>
    <w:rsid w:val="00FD6316"/>
    <w:rsid w:val="00FE059C"/>
    <w:rsid w:val="00FE75E0"/>
    <w:rsid w:val="00FE7F70"/>
    <w:rsid w:val="00FF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4EB2F80"/>
  <w15:docId w15:val="{1CAEE727-3A07-4D46-B3F0-5931F23F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73DA"/>
    <w:rPr>
      <w:rFonts w:ascii="Helvetica" w:hAnsi="Helvetica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qFormat/>
    <w:locked/>
    <w:rsid w:val="00DF06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14658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D4E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4E3F"/>
    <w:rPr>
      <w:rFonts w:ascii="Helvetica" w:hAnsi="Helvetica" w:cs="Times New Roman"/>
      <w:lang w:val="fr-FR"/>
    </w:rPr>
  </w:style>
  <w:style w:type="paragraph" w:styleId="Footer">
    <w:name w:val="footer"/>
    <w:basedOn w:val="Normal"/>
    <w:link w:val="FooterChar"/>
    <w:uiPriority w:val="99"/>
    <w:semiHidden/>
    <w:rsid w:val="00FD4E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4E3F"/>
    <w:rPr>
      <w:rFonts w:ascii="Helvetica" w:hAnsi="Helvetica" w:cs="Times New Roman"/>
      <w:lang w:val="fr-FR"/>
    </w:rPr>
  </w:style>
  <w:style w:type="character" w:styleId="Hyperlink">
    <w:name w:val="Hyperlink"/>
    <w:basedOn w:val="DefaultParagraphFont"/>
    <w:uiPriority w:val="99"/>
    <w:rsid w:val="005B110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1C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3E5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8D28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8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834"/>
    <w:rPr>
      <w:rFonts w:ascii="Helvetica" w:hAnsi="Helvetica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834"/>
    <w:rPr>
      <w:rFonts w:ascii="Helvetica" w:hAnsi="Helvetica"/>
      <w:b/>
      <w:bCs/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rsid w:val="007E6011"/>
  </w:style>
  <w:style w:type="character" w:styleId="Emphasis">
    <w:name w:val="Emphasis"/>
    <w:basedOn w:val="DefaultParagraphFont"/>
    <w:uiPriority w:val="20"/>
    <w:qFormat/>
    <w:locked/>
    <w:rsid w:val="007E601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14658A"/>
    <w:rPr>
      <w:rFonts w:ascii="Times New Roman" w:eastAsia="Times New Roman" w:hAnsi="Times New Roman"/>
      <w:b/>
      <w:bCs/>
      <w:sz w:val="36"/>
      <w:szCs w:val="36"/>
    </w:rPr>
  </w:style>
  <w:style w:type="table" w:styleId="TableGrid">
    <w:name w:val="Table Grid"/>
    <w:basedOn w:val="TableNormal"/>
    <w:unhideWhenUsed/>
    <w:locked/>
    <w:rsid w:val="00C77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F06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paragraph" w:styleId="Revision">
    <w:name w:val="Revision"/>
    <w:hidden/>
    <w:uiPriority w:val="99"/>
    <w:semiHidden/>
    <w:rsid w:val="006D1395"/>
    <w:rPr>
      <w:rFonts w:ascii="Helvetica" w:hAnsi="Helvetica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8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8E51A-AF04-441B-BBA9-58CB10448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6314D-8371-479B-BA0A-98709CBCB989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9F6A4F-F2E5-49D3-9FAD-3980879B0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7B78B04-9156-489B-869C-2CCA22C1F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EEBD0A84</Template>
  <TotalTime>7</TotalTime>
  <Pages>2</Pages>
  <Words>399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Moberg Jörg (BIL)</dc:creator>
  <cp:lastModifiedBy>Moberg Jörg (BIL)</cp:lastModifiedBy>
  <cp:revision>4</cp:revision>
  <cp:lastPrinted>2020-08-09T09:29:00Z</cp:lastPrinted>
  <dcterms:created xsi:type="dcterms:W3CDTF">2020-08-09T09:51:00Z</dcterms:created>
  <dcterms:modified xsi:type="dcterms:W3CDTF">2020-08-09T18:04:00Z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-693514498</vt:i4>
  </property>
  <property fmtid="{D5CDD505-2E9C-101B-9397-08002B2CF9AE}" pid="3" name="_NewReviewCycle">
    <vt:lpwstr/>
  </property>
  <property fmtid="{D5CDD505-2E9C-101B-9397-08002B2CF9AE}" pid="4" name="_EmailSubject">
    <vt:lpwstr>[Communiqué de presse - Press release - Pressemitteilung ] - La BIL a renforcé sa Compliance</vt:lpwstr>
  </property>
  <property fmtid="{D5CDD505-2E9C-101B-9397-08002B2CF9AE}" pid="5" name="_AuthorEmail">
    <vt:lpwstr>Vincent.Pelletier@bil.com</vt:lpwstr>
  </property>
  <property fmtid="{D5CDD505-2E9C-101B-9397-08002B2CF9AE}" pid="6" name="_AuthorEmailDisplayName">
    <vt:lpwstr>Pelletier Vincent (BIL)</vt:lpwstr>
  </property>
  <property fmtid="{D5CDD505-2E9C-101B-9397-08002B2CF9AE}" pid="8" name="_PreviousAdHocReviewCycleID">
    <vt:i4>586125421</vt:i4>
  </property>
</Properties>
</file>